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Sensory Processing to Sequential Action Control</w:t>
      </w:r>
    </w:p>
    <w:p>
      <w:pPr>
        <w:pStyle w:val="Author"/>
      </w:pPr>
      <w:r>
        <w:t xml:space="preserve">Durafshan Sakeena Syed</w:t>
      </w:r>
    </w:p>
    <w:bookmarkStart w:id="18" w:name="Xa20b8923898b9fd6fa0dd02973ef200d12f59ae"/>
    <w:p>
      <w:pPr>
        <w:pStyle w:val="Heading2"/>
      </w:pPr>
      <w:r>
        <w:t xml:space="preserve">Module 3 Instructor Guide — Sensory Processing to Sequential Action Control</w:t>
      </w:r>
    </w:p>
    <w:bookmarkStart w:id="9" w:name="conceptual-framework"/>
    <w:p>
      <w:pPr>
        <w:pStyle w:val="Heading3"/>
      </w:pPr>
      <w:r>
        <w:t xml:space="preserve">Conceptual Framework</w:t>
      </w:r>
    </w:p>
    <w:p>
      <w:pPr>
        <w:pStyle w:val="Compact"/>
        <w:numPr>
          <w:ilvl w:val="0"/>
          <w:numId w:val="1001"/>
        </w:numPr>
      </w:pPr>
      <w:r>
        <w:t xml:space="preserve">Sensory-driven activation – mechanosensory input triggers grooming behavior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Command-like neuron activation – specific neural populations bias or initiate motor programs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Hierarchical suppression – competing actions are organized into structured sequences</w:t>
      </w:r>
    </w:p>
    <w:p>
      <w:pPr>
        <w:pStyle w:val="FirstParagraph"/>
      </w:pPr>
      <w:r>
        <w:t xml:space="preserve">Students investigate how these levels interact to produce ordered, flexible grooming behavior in</w:t>
      </w:r>
      <w:r>
        <w:t xml:space="preserve"> </w:t>
      </w:r>
      <w:r>
        <w:rPr>
          <w:i/>
          <w:iCs/>
        </w:rPr>
        <w:t xml:space="preserve">Drosophila melanogaster</w:t>
      </w:r>
      <w:r>
        <w:t xml:space="preserve">.</w:t>
      </w:r>
    </w:p>
    <w:bookmarkEnd w:id="9"/>
    <w:bookmarkStart w:id="10" w:name="pedagogical-approach"/>
    <w:p>
      <w:pPr>
        <w:pStyle w:val="Heading3"/>
      </w:pPr>
      <w:r>
        <w:t xml:space="preserve">Pedagogical Approach</w:t>
      </w:r>
    </w:p>
    <w:p>
      <w:pPr>
        <w:pStyle w:val="Compact"/>
        <w:numPr>
          <w:ilvl w:val="0"/>
          <w:numId w:val="1002"/>
        </w:numPr>
      </w:pPr>
      <w:r>
        <w:t xml:space="preserve">Observation – record natural grooming behavior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Quantification – annotate and measure sequences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Manipulation – test causal roles using optogenetics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Interpretation – relate behavior to neural circuits</w:t>
      </w:r>
    </w:p>
    <w:bookmarkEnd w:id="10"/>
    <w:bookmarkStart w:id="11" w:name="learning-objectives"/>
    <w:p>
      <w:pPr>
        <w:pStyle w:val="Heading3"/>
      </w:pPr>
      <w:r>
        <w:t xml:space="preserve">Learning Objectives</w:t>
      </w:r>
    </w:p>
    <w:p>
      <w:pPr>
        <w:pStyle w:val="Compact"/>
        <w:numPr>
          <w:ilvl w:val="0"/>
          <w:numId w:val="1003"/>
        </w:numPr>
      </w:pPr>
      <w:r>
        <w:t xml:space="preserve">Describe hierarchical organization of motor behavior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Quantify behavioral sequences using time sampling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Compare sensory-driven vs circuit-driven activation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Interpret behavioral data in neural circuit context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Evaluate selection and suppression of competing motor programs</w:t>
      </w:r>
    </w:p>
    <w:bookmarkEnd w:id="11"/>
    <w:bookmarkStart w:id="12" w:name="suggested-teaching-timeline-23-hours"/>
    <w:p>
      <w:pPr>
        <w:pStyle w:val="Heading3"/>
      </w:pPr>
      <w:r>
        <w:t xml:space="preserve">Suggested Teaching Timeline (2–3 hours)</w:t>
      </w:r>
    </w:p>
    <w:p>
      <w:pPr>
        <w:pStyle w:val="Compact"/>
        <w:numPr>
          <w:ilvl w:val="0"/>
          <w:numId w:val="1004"/>
        </w:numPr>
      </w:pPr>
      <w:r>
        <w:t xml:space="preserve">20 min: Introduction &amp; Background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40 min: Data Collection (Dusting &amp; Optogenetics)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~60 min: Data Analysis (Scoring &amp; Graphing)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30 min: Discussion &amp; Interpretation</w:t>
      </w:r>
    </w:p>
    <w:bookmarkEnd w:id="12"/>
    <w:bookmarkStart w:id="17" w:name="experimental-overview"/>
    <w:p>
      <w:pPr>
        <w:pStyle w:val="Heading3"/>
      </w:pPr>
      <w:r>
        <w:t xml:space="preserve">Experimental Overview</w:t>
      </w:r>
    </w:p>
    <w:bookmarkStart w:id="13" w:name="conditions"/>
    <w:p>
      <w:pPr>
        <w:pStyle w:val="Heading4"/>
      </w:pPr>
      <w:r>
        <w:t xml:space="preserve">Conditions</w:t>
      </w:r>
    </w:p>
    <w:p>
      <w:pPr>
        <w:pStyle w:val="Compact"/>
        <w:numPr>
          <w:ilvl w:val="0"/>
          <w:numId w:val="1005"/>
        </w:numPr>
      </w:pPr>
      <w:r>
        <w:t xml:space="preserve">Dust stimulation – natural mechanosensory activation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Optogenetic activation – artificial activation of neurons</w:t>
      </w:r>
    </w:p>
    <w:bookmarkEnd w:id="13"/>
    <w:bookmarkStart w:id="14" w:name="key-experimental-question"/>
    <w:p>
      <w:pPr>
        <w:pStyle w:val="Heading4"/>
      </w:pPr>
      <w:r>
        <w:t xml:space="preserve">Key Experimental Question</w:t>
      </w:r>
    </w:p>
    <w:p>
      <w:pPr>
        <w:pStyle w:val="Compact"/>
        <w:numPr>
          <w:ilvl w:val="0"/>
          <w:numId w:val="1006"/>
        </w:numPr>
      </w:pPr>
      <w:r>
        <w:t xml:space="preserve">How do sensory input and specific neurons influence grooming sequence, timing, and selection?</w:t>
      </w:r>
    </w:p>
    <w:bookmarkEnd w:id="14"/>
    <w:bookmarkStart w:id="15" w:name="expected-outcomes"/>
    <w:p>
      <w:pPr>
        <w:pStyle w:val="Heading4"/>
      </w:pPr>
      <w:r>
        <w:t xml:space="preserve">Expected Outcomes</w:t>
      </w:r>
    </w:p>
    <w:p>
      <w:pPr>
        <w:pStyle w:val="Compact"/>
        <w:numPr>
          <w:ilvl w:val="0"/>
          <w:numId w:val="1007"/>
        </w:numPr>
      </w:pPr>
      <w:r>
        <w:t xml:space="preserve">Grooming follows an anterior → posterior progression</w:t>
      </w:r>
      <w:r>
        <w:br/>
      </w:r>
    </w:p>
    <w:p>
      <w:pPr>
        <w:pStyle w:val="Compact"/>
        <w:numPr>
          <w:ilvl w:val="0"/>
          <w:numId w:val="1007"/>
        </w:numPr>
      </w:pPr>
      <w:r>
        <w:t xml:space="preserve">Head grooming often occurs first</w:t>
      </w:r>
      <w:r>
        <w:br/>
      </w:r>
    </w:p>
    <w:p>
      <w:pPr>
        <w:pStyle w:val="Compact"/>
        <w:numPr>
          <w:ilvl w:val="0"/>
          <w:numId w:val="1007"/>
        </w:numPr>
      </w:pPr>
      <w:r>
        <w:t xml:space="preserve">Behavioral sequences are structured, not random</w:t>
      </w:r>
    </w:p>
    <w:bookmarkEnd w:id="15"/>
    <w:bookmarkStart w:id="16" w:name="optogenetic-activation-can"/>
    <w:p>
      <w:pPr>
        <w:pStyle w:val="Heading4"/>
      </w:pPr>
      <w:r>
        <w:t xml:space="preserve">Optogenetic activation can:</w:t>
      </w:r>
    </w:p>
    <w:p>
      <w:pPr>
        <w:pStyle w:val="Compact"/>
        <w:numPr>
          <w:ilvl w:val="0"/>
          <w:numId w:val="1008"/>
        </w:numPr>
      </w:pPr>
      <w:r>
        <w:t xml:space="preserve">Induce specific actions in clean flies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Override ongoing grooming sequences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Alter timing and transition probabilities</w:t>
      </w:r>
    </w:p>
    <w:p>
      <w:pPr>
        <w:pStyle w:val="FirstParagraph"/>
      </w:pPr>
      <w:r>
        <w:t xml:space="preserve">Variability across flies is expected and can be used to discuss biological variability and experimental noise.</w:t>
      </w:r>
    </w:p>
    <w:bookmarkEnd w:id="16"/>
    <w:bookmarkEnd w:id="17"/>
    <w:bookmarkEnd w:id="18"/>
    <w:bookmarkStart w:id="19" w:name="data-analysis-options"/>
    <w:p>
      <w:pPr>
        <w:pStyle w:val="Heading2"/>
      </w:pPr>
      <w:r>
        <w:t xml:space="preserve">Data Analysis Options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Level 1 (Introductory):</w:t>
      </w:r>
      <w:r>
        <w:t xml:space="preserve"> </w:t>
      </w:r>
      <w:r>
        <w:t xml:space="preserve">manual sampling, % time, bar graphs</w:t>
      </w:r>
      <w:r>
        <w:br/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Level 2 (Intermediate):</w:t>
      </w:r>
      <w:r>
        <w:t xml:space="preserve"> </w:t>
      </w:r>
      <w:r>
        <w:t xml:space="preserve">frame scoring, ethograms, transition analysis</w:t>
      </w:r>
      <w:r>
        <w:br/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Level 3 (Advanced):</w:t>
      </w:r>
      <w:r>
        <w:t xml:space="preserve"> </w:t>
      </w:r>
      <w:r>
        <w:t xml:space="preserve">MATLAB/Python, transition matrices, automated classification</w:t>
      </w:r>
    </w:p>
    <w:p>
      <w:pPr>
        <w:pStyle w:val="FirstParagraph"/>
      </w:pPr>
      <w:r>
        <w:t xml:space="preserve">Optional statistics:</w:t>
      </w:r>
    </w:p>
    <w:p>
      <w:pPr>
        <w:pStyle w:val="Compact"/>
        <w:numPr>
          <w:ilvl w:val="0"/>
          <w:numId w:val="1010"/>
        </w:numPr>
      </w:pPr>
      <w:r>
        <w:t xml:space="preserve">Mann–Whitney U test (between groups)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Paired t-test (within-fly comparisons)</w:t>
      </w:r>
    </w:p>
    <w:bookmarkEnd w:id="19"/>
    <w:bookmarkStart w:id="20" w:name="common-pitfalls-troubleshooting"/>
    <w:p>
      <w:pPr>
        <w:pStyle w:val="Heading2"/>
      </w:pPr>
      <w:r>
        <w:t xml:space="preserve">Common Pitfalls &amp; Troubleshooting</w:t>
      </w:r>
    </w:p>
    <w:p>
      <w:pPr>
        <w:pStyle w:val="Compact"/>
        <w:numPr>
          <w:ilvl w:val="0"/>
          <w:numId w:val="1011"/>
        </w:numPr>
      </w:pPr>
      <w:r>
        <w:t xml:space="preserve">Weak optogenetic activation → check retinal feeding and light conditions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Scoring inconsistencies → enforce “dominant behavior per second” rule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High variability → expected; use as discussion point</w:t>
      </w:r>
    </w:p>
    <w:bookmarkEnd w:id="20"/>
    <w:bookmarkStart w:id="21" w:name="key-conceptual-takeaways"/>
    <w:p>
      <w:pPr>
        <w:pStyle w:val="Heading2"/>
      </w:pPr>
      <w:r>
        <w:t xml:space="preserve">Key Conceptual Takeaways</w:t>
      </w:r>
    </w:p>
    <w:p>
      <w:pPr>
        <w:pStyle w:val="Compact"/>
        <w:numPr>
          <w:ilvl w:val="0"/>
          <w:numId w:val="1012"/>
        </w:numPr>
      </w:pPr>
      <w:r>
        <w:t xml:space="preserve">Grooming is hierarchical, not a simple reflex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Sensory input biases but does not fully determine behavior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Command neurons can initiate and dominate actions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Sequences emerge from competition and suppression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Motor control is dynamic and flexible</w:t>
      </w:r>
    </w:p>
    <w:bookmarkEnd w:id="21"/>
    <w:bookmarkStart w:id="30" w:name="preparation"/>
    <w:p>
      <w:pPr>
        <w:pStyle w:val="Heading2"/>
      </w:pPr>
      <w:r>
        <w:t xml:space="preserve">Preparation</w:t>
      </w:r>
    </w:p>
    <w:p>
      <w:pPr>
        <w:pStyle w:val="FirstParagraph"/>
      </w:pPr>
      <w:r>
        <w:t xml:space="preserve">Genetic crosses and fly husbandry (~15 days before the experiment)</w:t>
      </w:r>
    </w:p>
    <w:bookmarkStart w:id="23" w:name="fly-stocks"/>
    <w:p>
      <w:pPr>
        <w:pStyle w:val="Heading3"/>
      </w:pPr>
      <w:r>
        <w:t xml:space="preserve">Fly stocks:</w:t>
      </w:r>
    </w:p>
    <w:p>
      <w:pPr>
        <w:pStyle w:val="Compact"/>
        <w:numPr>
          <w:ilvl w:val="0"/>
          <w:numId w:val="1013"/>
        </w:numPr>
      </w:pPr>
      <w:r>
        <w:t xml:space="preserve">Obtain fly stocks from</w:t>
      </w:r>
      <w:r>
        <w:t xml:space="preserve"> </w:t>
      </w:r>
      <w:hyperlink r:id="rId22">
        <w:r>
          <w:rPr>
            <w:rStyle w:val="Hyperlink"/>
          </w:rPr>
          <w:t xml:space="preserve">Bloomington Drosophila Stock Center</w:t>
        </w:r>
      </w:hyperlink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Keep different fly lines in separate vials/bottles.</w:t>
      </w:r>
    </w:p>
    <w:p>
      <w:pPr>
        <w:pStyle w:val="FirstParagraph"/>
      </w:pPr>
      <w:r>
        <w:t xml:space="preserve">For optogenetic (or thermogenic) experiments: Use flies carrying UAS-CsChrimson (for optogenetics) or UAS-TrpA1 (for thermogenetics).</w:t>
      </w:r>
    </w:p>
    <w:p>
      <w:pPr>
        <w:pStyle w:val="BodyText"/>
      </w:pPr>
      <w:r>
        <w:t xml:space="preserve">These need to be crossed with GAL4 or Split-GAL4 driver lines.</w:t>
      </w:r>
    </w:p>
    <w:bookmarkEnd w:id="23"/>
    <w:bookmarkStart w:id="28" w:name="virgin-collection-for-setting-up-crosses"/>
    <w:p>
      <w:pPr>
        <w:pStyle w:val="Heading3"/>
      </w:pPr>
      <w:r>
        <w:t xml:space="preserve">Virgin Collection (for setting up crosses):</w:t>
      </w:r>
    </w:p>
    <w:p>
      <w:pPr>
        <w:pStyle w:val="Compact"/>
        <w:numPr>
          <w:ilvl w:val="0"/>
          <w:numId w:val="1014"/>
        </w:numPr>
      </w:pPr>
      <w:r>
        <w:t xml:space="preserve">Identify virgins directly: Collect newly eclosed females (wings still folded, no sex combs on legs).</w:t>
      </w:r>
    </w:p>
    <w:p>
      <w:pPr>
        <w:pStyle w:val="Compact"/>
        <w:numPr>
          <w:ilvl w:val="0"/>
          <w:numId w:val="1014"/>
        </w:numPr>
      </w:pPr>
      <w:r>
        <w:t xml:space="preserve">Alternative method (for beginners):</w:t>
      </w:r>
    </w:p>
    <w:p>
      <w:pPr>
        <w:pStyle w:val="Compact"/>
        <w:numPr>
          <w:ilvl w:val="1"/>
          <w:numId w:val="1015"/>
        </w:numPr>
      </w:pPr>
      <w:r>
        <w:t xml:space="preserve">Collect pupae and place a single pupa per vial.</w:t>
      </w:r>
    </w:p>
    <w:p>
      <w:pPr>
        <w:pStyle w:val="Compact"/>
        <w:numPr>
          <w:ilvl w:val="1"/>
          <w:numId w:val="1015"/>
        </w:numPr>
      </w:pPr>
      <w:r>
        <w:t xml:space="preserve">After eclosion, identify males and females.</w:t>
      </w:r>
    </w:p>
    <w:p>
      <w:pPr>
        <w:pStyle w:val="Compact"/>
        <w:numPr>
          <w:ilvl w:val="1"/>
          <w:numId w:val="1015"/>
        </w:numPr>
      </w:pPr>
      <w:r>
        <w:t xml:space="preserve">All females eclosed in individual vials will be virgins (since no males were present).</w:t>
      </w:r>
    </w:p>
    <w:p>
      <w:pPr>
        <w:pStyle w:val="Compact"/>
        <w:numPr>
          <w:ilvl w:val="1"/>
          <w:numId w:val="1015"/>
        </w:numPr>
      </w:pPr>
      <w:r>
        <w:t xml:space="preserve">These vials may also contain unfertilized eggs laid by virgin females.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largest number of virgins will eclose in the morning</w:t>
            </w:r>
          </w:p>
          <w:p/>
        </w:tc>
      </w:tr>
    </w:tbl>
    <w:p>
      <w:pPr>
        <w:pStyle w:val="BodyText"/>
      </w:pPr>
      <w:hyperlink r:id="rId27">
        <w:r>
          <w:rPr>
            <w:rStyle w:val="Hyperlink"/>
          </w:rPr>
          <w:t xml:space="preserve">Drosophila Workers Unite!</w:t>
        </w:r>
      </w:hyperlink>
      <w:r>
        <w:t xml:space="preserve"> </w:t>
      </w:r>
      <w:r>
        <w:t xml:space="preserve">is an excellent resource by Michele Markstein on how to do fly pushing/identifying gender differences/virgins and setting up the crosses.</w:t>
      </w:r>
    </w:p>
    <w:bookmarkEnd w:id="28"/>
    <w:bookmarkStart w:id="29" w:name="setting-up-crosses"/>
    <w:p>
      <w:pPr>
        <w:pStyle w:val="Heading3"/>
      </w:pPr>
      <w:r>
        <w:t xml:space="preserve">Setting Up Crosses:</w:t>
      </w:r>
    </w:p>
    <w:p>
      <w:pPr>
        <w:pStyle w:val="Compact"/>
        <w:numPr>
          <w:ilvl w:val="0"/>
          <w:numId w:val="1016"/>
        </w:numPr>
      </w:pPr>
      <w:r>
        <w:t xml:space="preserve">Collect males from the desired GAL4 or Split-GAL4 driver lines.</w:t>
      </w:r>
    </w:p>
    <w:p>
      <w:pPr>
        <w:pStyle w:val="Compact"/>
        <w:numPr>
          <w:ilvl w:val="0"/>
          <w:numId w:val="1016"/>
        </w:numPr>
      </w:pPr>
      <w:r>
        <w:t xml:space="preserve">Place 6 virgin females (from UAS-CsChrimson or UAS-TrpA1) and 3–6 males (from a given driver line) together in one vial with fly food.</w:t>
      </w:r>
    </w:p>
    <w:p>
      <w:pPr>
        <w:pStyle w:val="Compact"/>
        <w:numPr>
          <w:ilvl w:val="0"/>
          <w:numId w:val="1016"/>
        </w:numPr>
      </w:pPr>
      <w:r>
        <w:t xml:space="preserve">Maintain at room temperature (or recommended growth temperature for your experiment).</w:t>
      </w:r>
    </w:p>
    <w:bookmarkEnd w:id="29"/>
    <w:bookmarkEnd w:id="30"/>
    <w:bookmarkStart w:id="36" w:name="transferring-parents"/>
    <w:p>
      <w:pPr>
        <w:pStyle w:val="Heading2"/>
      </w:pPr>
      <w:r>
        <w:t xml:space="preserve">Transferring Parents</w:t>
      </w:r>
    </w:p>
    <w:p>
      <w:pPr>
        <w:pStyle w:val="FirstParagraph"/>
      </w:pPr>
      <w:r>
        <w:t xml:space="preserve">Transfer parent flies into new food vials every 5 days. This prevents the parental generation from mixing with the first generation of progeny.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To separate flies safely, you can immobilize/anesthetize them by placing the vial on ice or in the refrigerator for ~1 minute.</w:t>
            </w:r>
          </w:p>
          <w:p/>
        </w:tc>
      </w:tr>
    </w:tbl>
    <w:bookmarkStart w:id="33" w:name="collecting-experimental-flies"/>
    <w:p>
      <w:pPr>
        <w:pStyle w:val="Heading3"/>
      </w:pPr>
      <w:r>
        <w:t xml:space="preserve">Collecting Experimental Flies</w:t>
      </w:r>
    </w:p>
    <w:p>
      <w:pPr>
        <w:pStyle w:val="FirstParagraph"/>
      </w:pPr>
      <w:r>
        <w:t xml:space="preserve">Collect males from the first-generation progeny (correct genotype) for experiments. These flies will be ready for dusting or optogenetic/thermogenetic activation experiments.</w:t>
      </w:r>
    </w:p>
    <w:bookmarkEnd w:id="33"/>
    <w:bookmarkStart w:id="34" w:name="fly-stocks-1"/>
    <w:p>
      <w:pPr>
        <w:pStyle w:val="Heading3"/>
      </w:pPr>
      <w:r>
        <w:t xml:space="preserve">Fly stocks: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Fly Genotype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Cat#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Iav GAL4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Bloomington Stock Center (BDSC)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R38B08 GAL4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DNg12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DNg11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MagoNote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BDSC/Simpson lab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wPN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BDSC/Simpson lab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UASCsChrimson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UAS TrpA1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AD-DBD-empty SPLIT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Canton 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35" w:name="Xd418655491b27fbe7aa4b78215fb644ffe859b4"/>
    <w:p>
      <w:pPr>
        <w:pStyle w:val="Heading3"/>
      </w:pPr>
      <w:r>
        <w:t xml:space="preserve">Preparing flies for experiment (~3 days before the experiment)</w:t>
      </w:r>
    </w:p>
    <w:p>
      <w:pPr>
        <w:pStyle w:val="FirstParagraph"/>
      </w:pPr>
      <w:r>
        <w:t xml:space="preserve">Perform behavioral experiments on flies that are 3–6 days old after eclosion.</w:t>
      </w:r>
    </w:p>
    <w:p>
      <w:pPr>
        <w:pStyle w:val="BodyText"/>
      </w:pPr>
      <w:r>
        <w:t xml:space="preserve">Control Flies (Wild-Type or Non-Optogenetic): These can be used directly for dusting experiments without any special preparation.</w:t>
      </w:r>
    </w:p>
    <w:p>
      <w:pPr>
        <w:pStyle w:val="BodyText"/>
      </w:pPr>
      <w:r>
        <w:t xml:space="preserve">Experimental Flies (Optogenetic with CsChrimson):</w:t>
      </w:r>
    </w:p>
    <w:p>
      <w:pPr>
        <w:pStyle w:val="BodyText"/>
      </w:pPr>
      <w:r>
        <w:t xml:space="preserve">Flies carrying UAS-CsChrimson must be fed on retinal-containing food for 3 days prior to the experiment. Retinal is required to make the Chrimson channel sensitive to light activation.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4" Target="media/rId24.png" /><Relationship Type="http://schemas.openxmlformats.org/officeDocument/2006/relationships/hyperlink" Id="rId22" Target="https://flystocks.bio.indiana.edu/index.html" TargetMode="External" /><Relationship Type="http://schemas.openxmlformats.org/officeDocument/2006/relationships/hyperlink" Id="rId27" Target="https://marksteinlab.org/dw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flystocks.bio.indiana.edu/index.html" TargetMode="External" /><Relationship Type="http://schemas.openxmlformats.org/officeDocument/2006/relationships/hyperlink" Id="rId27" Target="https://marksteinlab.org/dw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Processing to Sequential Action Control</dc:title>
  <dc:creator>Durafshan Sakeena Syed</dc:creator>
  <cp:keywords/>
  <dcterms:created xsi:type="dcterms:W3CDTF">2026-05-15T15:17:09Z</dcterms:created>
  <dcterms:modified xsi:type="dcterms:W3CDTF">2026-05-15T15:17:09Z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engines">
    <vt:lpwstr/>
  </property>
  <property fmtid="{D5CDD505-2E9C-101B-9397-08002B2CF9AE}" pid="9" name="git-version">
    <vt:lpwstr>caea2a7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lightbox">
    <vt:lpwstr>True</vt:lpwstr>
  </property>
  <property fmtid="{D5CDD505-2E9C-101B-9397-08002B2CF9AE}" pid="15" name="toc-title">
    <vt:lpwstr>Table of contents</vt:lpwstr>
  </property>
</Properties>
</file>