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5.png" ContentType="image/png"/>
  <Override PartName="/word/media/rId10.png" ContentType="image/png"/>
  <Override PartName="/word/media/rId21.png" ContentType="image/png"/>
  <Override PartName="/word/media/rId25.png" ContentType="image/png"/>
  <Override PartName="/word/media/rId29.png" ContentType="image/png"/>
  <Override PartName="/word/media/rId33.png" ContentType="image/png"/>
  <Override PartName="/word/media/rId42.png" ContentType="image/png"/>
  <Override PartName="/word/media/rId46.png" ContentType="image/png"/>
  <Override PartName="/word/media/rId51.png" ContentType="image/png"/>
  <Override PartName="/word/media/rId56.png" ContentType="image/png"/>
  <Override PartName="/word/media/rId60.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Developmental Logic as Circuit Blueprint.</w:t>
      </w:r>
    </w:p>
    <w:p>
      <w:pPr>
        <w:pStyle w:val="Author"/>
      </w:pPr>
      <w:r>
        <w:t xml:space="preserve">Jelly Soffers</w:t>
      </w:r>
    </w:p>
    <w:bookmarkStart w:id="14" w:name="overview"/>
    <w:p>
      <w:pPr>
        <w:pStyle w:val="Heading3"/>
      </w:pPr>
      <w:r>
        <w:t xml:space="preserve">Overview</w:t>
      </w:r>
    </w:p>
    <w:p>
      <w:pPr>
        <w:pStyle w:val="FirstParagraph"/>
      </w:pPr>
      <w:r>
        <w:t xml:space="preserve">This tutorial guides you through the Neuroglancer interface to examine the escape circuit.</w:t>
      </w:r>
    </w:p>
    <w:p>
      <w:pPr>
        <w:pStyle w:val="BodyText"/>
      </w:pPr>
      <w:r>
        <w:t xml:space="preserve">First, you will visualize the key neurons of this survival response. The giant fiber neurons relay a danger signal from the brain where the threat is detected to the ventral nerve cord (the fly’s spinal cord). This activates the motor neurons that trigger the jump movement so that the fly moves away from the danger. These motorneurons are called the tergotrochanteral motor neurons (TTMn’s), after the tergotrochanter muscle they innervate, which is a leg extensor muscle.</w:t>
      </w:r>
    </w:p>
    <w:p>
      <w:pPr>
        <w:pStyle w:val="BodyText"/>
      </w:pPr>
      <w:r>
        <w:t xml:space="preserve">Follow this</w:t>
      </w:r>
      <w:r>
        <w:t xml:space="preserve"> </w:t>
      </w:r>
      <w:hyperlink r:id="rId9">
        <w:r>
          <w:rPr>
            <w:rStyle w:val="Hyperlink"/>
          </w:rPr>
          <w:t xml:space="preserve">link</w:t>
        </w:r>
      </w:hyperlink>
      <w:r>
        <w:t xml:space="preserve"> </w:t>
      </w:r>
      <w:r>
        <w:t xml:space="preserve">to look at the brain, and see the location of the cell bodies of the giant fiber neurons.</w:t>
      </w:r>
    </w:p>
    <w:p>
      <w:pPr>
        <w:pStyle w:val="BodyText"/>
      </w:pPr>
      <w:r>
        <w:t xml:space="preserve">Next, you will investigate how neurons populations derived from different stem cells interact with these same motor neurons contribute. In essence, you are tracing the premotor control of the tergotrochanteral motor neuron (TTMn). We call these neurons presynaptic partners.</w:t>
      </w:r>
    </w:p>
    <w:tbl>
      <w:tblPr>
        <w:tblStyle w:val="Table"/>
        <w:tblW w:type="pct" w:w="5000"/>
        <w:tblLayout w:type="fixed"/>
        <w:tblLook w:firstRow="0" w:lastRow="0" w:firstColumn="0" w:lastColumn="0" w:noHBand="0" w:noVBand="0" w:val="0000"/>
      </w:tblPr>
      <w:tblGrid>
        <w:gridCol w:w="7920"/>
      </w:tblGrid>
      <w:tr>
        <w:tc>
          <w:tcPr/>
          <w:bookmarkStart w:id="13" w:name="fig-escapre_response"/>
          <w:p>
            <w:pPr>
              <w:pStyle w:val="Compact"/>
              <w:jc w:val="center"/>
            </w:pPr>
            <w:r>
              <w:drawing>
                <wp:inline>
                  <wp:extent cx="5334000" cy="3452438"/>
                  <wp:effectExtent b="0" l="0" r="0" t="0"/>
                  <wp:docPr descr="Cartoon of the Drosophila escape response." title="" id="11" name="Picture"/>
                  <a:graphic>
                    <a:graphicData uri="http://schemas.openxmlformats.org/drawingml/2006/picture">
                      <pic:pic>
                        <pic:nvPicPr>
                          <pic:cNvPr descr="assets/hemilineage/escape_response.png" id="12" name="Picture"/>
                          <pic:cNvPicPr>
                            <a:picLocks noChangeArrowheads="1" noChangeAspect="1"/>
                          </pic:cNvPicPr>
                        </pic:nvPicPr>
                        <pic:blipFill>
                          <a:blip r:embed="rId10"/>
                          <a:stretch>
                            <a:fillRect/>
                          </a:stretch>
                        </pic:blipFill>
                        <pic:spPr bwMode="auto">
                          <a:xfrm>
                            <a:off x="0" y="0"/>
                            <a:ext cx="5334000" cy="3452438"/>
                          </a:xfrm>
                          <a:prstGeom prst="rect">
                            <a:avLst/>
                          </a:prstGeom>
                          <a:noFill/>
                          <a:ln w="9525">
                            <a:noFill/>
                            <a:headEnd/>
                            <a:tailEnd/>
                          </a:ln>
                        </pic:spPr>
                      </pic:pic>
                    </a:graphicData>
                  </a:graphic>
                </wp:inline>
              </w:drawing>
            </w:r>
          </w:p>
          <w:p>
            <w:pPr>
              <w:jc w:val="center"/>
            </w:pPr>
            <w:pPr>
              <w:jc w:val="left"/>
              <w:spacing w:before="200"/>
              <w:pStyle w:val="ImageCaption"/>
            </w:pPr>
            <w:r>
              <w:t xml:space="preserve">Figure 1: Figure: Schematic of the giant fiber escape response in</w:t>
            </w:r>
            <w:r>
              <w:t xml:space="preserve"> </w:t>
            </w:r>
            <w:r>
              <w:rPr>
                <w:i/>
                <w:iCs/>
              </w:rPr>
              <w:t xml:space="preserve">Drosophila</w:t>
            </w:r>
            <w:r>
              <w:t xml:space="preserve">. Bilateral giant fiber interneurons descend from the brain through the neck into the</w:t>
            </w:r>
            <w:r>
              <w:t xml:space="preserve"> </w:t>
            </w:r>
            <w:r>
              <w:t xml:space="preserve">“spinal cord”</w:t>
            </w:r>
            <w:r>
              <w:t xml:space="preserve"> </w:t>
            </w:r>
            <w:r>
              <w:t xml:space="preserve">(VNC) and terminate in the T2 neuropil, where they synapse onto tergotrochanteral motor neurons (TTMns) that drive jump muscle activation to jump away from danger.</w:t>
            </w:r>
          </w:p>
          <w:bookmarkEnd w:id="13"/>
        </w:tc>
      </w:tr>
    </w:tbl>
    <w:bookmarkEnd w:id="14"/>
    <w:bookmarkStart w:id="38" w:name="overview-of-dataset-for-reference"/>
    <w:p>
      <w:pPr>
        <w:pStyle w:val="Heading3"/>
      </w:pPr>
      <w:r>
        <w:t xml:space="preserve">Overview of Dataset (for reference)</w:t>
      </w:r>
    </w:p>
    <w:p>
      <w:pPr>
        <w:pStyle w:val="FirstParagraph"/>
      </w:pPr>
      <w:r>
        <w:t xml:space="preserve">Presynaptic partners of the TTMn were identified from the MANC connectome v1.2 using a neuPrint query that extracts upstream neurons forming ≥10 synapses onto the TTMn. Neurons not assigned to a hemilineage were excluded from analysis. The resulting dataset is provided in</w:t>
      </w:r>
      <w:r>
        <w:t xml:space="preserve"> </w:t>
      </w:r>
      <w:hyperlink w:anchor="tbl-manc-ids">
        <w:r>
          <w:rPr>
            <w:rStyle w:val="Hyperlink"/>
          </w:rPr>
          <w:t xml:space="preserve">Table 1</w:t>
        </w:r>
      </w:hyperlink>
      <w:r>
        <w:t xml:space="preserve">, which includes neuron IDs, hemilineage identity, synapse counts, and neurotransmitter annotations.</w:t>
      </w:r>
    </w:p>
    <w:tbl>
      <w:tblPr>
        <w:tblStyle w:val="Table"/>
        <w:tblW w:type="pct" w:w="5000"/>
        <w:tblLayout w:type="fixed"/>
        <w:tblLook w:firstRow="0" w:lastRow="0" w:firstColumn="0" w:lastColumn="0" w:noHBand="0" w:noVBand="0" w:val="0000"/>
      </w:tblPr>
      <w:tblGrid>
        <w:gridCol w:w="7920"/>
      </w:tblGrid>
      <w:tr>
        <w:tc>
          <w:tcPr/>
          <w:bookmarkStart w:id="20" w:name="fig-optogenetics"/>
          <w:p>
            <w:pPr>
              <w:pStyle w:val="Compact"/>
              <w:jc w:val="center"/>
            </w:pPr>
            <w:bookmarkStart w:id="18" w:name="fig-neuprint-a"/>
            <w:r>
              <w:drawing>
                <wp:inline>
                  <wp:extent cx="3251200" cy="3251200"/>
                  <wp:effectExtent b="0" l="0" r="0" t="0"/>
                  <wp:docPr descr="" title="" id="16" name="Picture"/>
                  <a:graphic>
                    <a:graphicData uri="http://schemas.openxmlformats.org/drawingml/2006/picture">
                      <pic:pic>
                        <pic:nvPicPr>
                          <pic:cNvPr descr="assets/hemilineage/QR_neuprint.png" id="17" name="Picture"/>
                          <pic:cNvPicPr>
                            <a:picLocks noChangeArrowheads="1" noChangeAspect="1"/>
                          </pic:cNvPicPr>
                        </pic:nvPicPr>
                        <pic:blipFill>
                          <a:blip r:embed="rId15"/>
                          <a:stretch>
                            <a:fillRect/>
                          </a:stretch>
                        </pic:blipFill>
                        <pic:spPr bwMode="auto">
                          <a:xfrm>
                            <a:off x="0" y="0"/>
                            <a:ext cx="3251200" cy="3251200"/>
                          </a:xfrm>
                          <a:prstGeom prst="rect">
                            <a:avLst/>
                          </a:prstGeom>
                          <a:noFill/>
                          <a:ln w="9525">
                            <a:noFill/>
                            <a:headEnd/>
                            <a:tailEnd/>
                          </a:ln>
                        </pic:spPr>
                      </pic:pic>
                    </a:graphicData>
                  </a:graphic>
                </wp:inline>
              </w:drawing>
            </w:r>
            <w:bookmarkEnd w:id="18"/>
          </w:p>
          <w:p>
            <w:pPr>
              <w:jc w:val="center"/>
            </w:pPr>
            <w:pPr>
              <w:jc w:val="left"/>
              <w:spacing w:before="200"/>
              <w:pStyle w:val="ImageCaption"/>
            </w:pPr>
            <w:r>
              <w:t xml:space="preserve">Figure 2:</w:t>
            </w:r>
            <w:r>
              <w:t xml:space="preserve"> </w:t>
            </w:r>
            <w:hyperlink r:id="rId19">
              <w:r>
                <w:rPr>
                  <w:rStyle w:val="Hyperlink"/>
                </w:rPr>
                <w:t xml:space="preserve">click to open Neuprint link</w:t>
              </w:r>
            </w:hyperlink>
            <w:r>
              <w:t xml:space="preserve"> </w:t>
            </w:r>
            <w:r>
              <w:t xml:space="preserve">or scan the QR code.</w:t>
            </w:r>
          </w:p>
          <w:bookmarkEnd w:id="20"/>
        </w:tc>
      </w:tr>
    </w:tbl>
    <w:p>
      <w:pPr>
        <w:pStyle w:val="BodyText"/>
      </w:pPr>
      <w:r>
        <w:t xml:space="preserve">This link directs you to a viewer screen, which has a few items preloaded:</w:t>
      </w:r>
    </w:p>
    <w:p>
      <w:pPr>
        <w:pStyle w:val="Compact"/>
        <w:numPr>
          <w:ilvl w:val="0"/>
          <w:numId w:val="1001"/>
        </w:numPr>
      </w:pPr>
      <w:r>
        <w:t xml:space="preserve">The full EM volume as a structural reference;</w:t>
      </w:r>
    </w:p>
    <w:p>
      <w:pPr>
        <w:pStyle w:val="Compact"/>
        <w:numPr>
          <w:ilvl w:val="0"/>
          <w:numId w:val="1001"/>
        </w:numPr>
      </w:pPr>
      <w:r>
        <w:t xml:space="preserve">Neuropil outlines for anatomical context;</w:t>
      </w:r>
    </w:p>
    <w:p>
      <w:pPr>
        <w:pStyle w:val="Compact"/>
        <w:numPr>
          <w:ilvl w:val="0"/>
          <w:numId w:val="1001"/>
        </w:numPr>
      </w:pPr>
      <w:r>
        <w:t xml:space="preserve">The Giant Fiber (from the neck into the ventral nerve cord, the central brain is chopped off);</w:t>
      </w:r>
    </w:p>
    <w:p>
      <w:pPr>
        <w:pStyle w:val="Compact"/>
        <w:numPr>
          <w:ilvl w:val="0"/>
          <w:numId w:val="1001"/>
        </w:numPr>
      </w:pPr>
      <w:r>
        <w:t xml:space="preserve">The jump muscle motor neuron (TTMn);</w:t>
      </w:r>
    </w:p>
    <w:p>
      <w:pPr>
        <w:pStyle w:val="Compact"/>
        <w:numPr>
          <w:ilvl w:val="0"/>
          <w:numId w:val="1001"/>
        </w:numPr>
      </w:pPr>
      <w:r>
        <w:t xml:space="preserve">Neurons from specific neuronal populations (hemilineages) that synapse with the TTMn (AKA: TTMn premotor input);</w:t>
      </w:r>
    </w:p>
    <w:p>
      <w:pPr>
        <w:pStyle w:val="Compact"/>
        <w:numPr>
          <w:ilvl w:val="0"/>
          <w:numId w:val="1001"/>
        </w:numPr>
      </w:pPr>
      <w:r>
        <w:t xml:space="preserve">The complete hemilineage as reference (for thoracic segment 2).</w:t>
      </w:r>
    </w:p>
    <w:bookmarkStart w:id="37" w:name="fig-giant-fiber"/>
    <w:tbl>
      <w:tblPr>
        <w:tblStyle w:val="Table"/>
        <w:tblW w:type="pct" w:w="4900"/>
        <w:tblLayout w:type="fixed"/>
        <w:tblLook w:firstRow="0" w:lastRow="0" w:firstColumn="0" w:lastColumn="0" w:noHBand="0" w:noVBand="0" w:val="0000"/>
      </w:tblPr>
      <w:tblGrid>
        <w:gridCol w:w="3880"/>
        <w:gridCol w:w="3880"/>
      </w:tblGrid>
      <w:tr>
        <w:tc>
          <w:tcPr/>
          <w:tbl>
            <w:tblPr>
              <w:tblStyle w:val="Table"/>
              <w:tblW w:type="pct" w:w="4900"/>
              <w:tblLayout w:type="fixed"/>
              <w:tblLook w:firstRow="0" w:lastRow="0" w:firstColumn="0" w:lastColumn="0" w:noHBand="0" w:noVBand="0" w:val="0000"/>
            </w:tblPr>
            <w:tblGrid>
              <w:gridCol w:w="7761"/>
            </w:tblGrid>
            <w:tr>
              <w:tc>
                <w:tcPr/>
                <w:bookmarkStart w:id="24" w:name="fig-gf-a"/>
                <w:p>
                  <w:pPr>
                    <w:pStyle w:val="Compact"/>
                    <w:jc w:val="center"/>
                    <w:jc w:val="left"/>
                  </w:pPr>
                  <w:r>
                    <w:drawing>
                      <wp:inline>
                        <wp:extent cx="2971800" cy="2423486"/>
                        <wp:effectExtent b="0" l="0" r="0" t="0"/>
                        <wp:docPr descr="" title="" id="22" name="Picture"/>
                        <a:graphic>
                          <a:graphicData uri="http://schemas.openxmlformats.org/drawingml/2006/picture">
                            <pic:pic>
                              <pic:nvPicPr>
                                <pic:cNvPr descr="assets/module01/gf_a.png" id="23" name="Picture"/>
                                <pic:cNvPicPr>
                                  <a:picLocks noChangeArrowheads="1" noChangeAspect="1"/>
                                </pic:cNvPicPr>
                              </pic:nvPicPr>
                              <pic:blipFill>
                                <a:blip r:embed="rId21"/>
                                <a:stretch>
                                  <a:fillRect/>
                                </a:stretch>
                              </pic:blipFill>
                              <pic:spPr bwMode="auto">
                                <a:xfrm>
                                  <a:off x="0" y="0"/>
                                  <a:ext cx="2971800" cy="2423486"/>
                                </a:xfrm>
                                <a:prstGeom prst="rect">
                                  <a:avLst/>
                                </a:prstGeom>
                                <a:noFill/>
                                <a:ln w="9525">
                                  <a:noFill/>
                                  <a:headEnd/>
                                  <a:tailEnd/>
                                </a:ln>
                              </pic:spPr>
                            </pic:pic>
                          </a:graphicData>
                        </a:graphic>
                      </wp:inline>
                    </w:drawing>
                  </w:r>
                </w:p>
                <w:p>
                  <w:pPr>
                    <w:jc w:val="center"/>
                    <w:jc w:val="left"/>
                  </w:pPr>
                  <w:pPr>
                    <w:jc w:val="left"/>
                    <w:spacing w:before="200"/>
                    <w:pStyle w:val="ImageCaption"/>
                  </w:pPr>
                  <w:r>
                    <w:t xml:space="preserve">(a) cartoon of the escape circuit</w:t>
                  </w:r>
                </w:p>
                <w:bookmarkEnd w:id="24"/>
              </w:tc>
            </w:tr>
          </w:tbl>
          <w:p/>
        </w:tc>
        <w:tc>
          <w:tcPr/>
          <w:p>
            <w:pPr>
              <w:jc w:val="left"/>
            </w:pPr>
            <w:r>
              <w:t xml:space="preserve"> </w:t>
            </w:r>
          </w:p>
        </w:tc>
      </w:tr>
    </w:tbl>
    <w:p>
      <w:pPr>
        <w:framePr w:w="0" w:h="0" w:vAnchor="margin" w:hAnchor="margin" w:xAlign="right" w:yAlign="top"/>
      </w:pPr>
    </w:p>
    <w:tbl>
      <w:tblPr>
        <w:tblStyle w:val="Table"/>
        <w:tblW w:type="pct" w:w="4900"/>
        <w:tblLayout w:type="fixed"/>
        <w:tblLook w:firstRow="0" w:lastRow="0" w:firstColumn="0" w:lastColumn="0" w:noHBand="0" w:noVBand="0" w:val="0000"/>
      </w:tblPr>
      <w:tblGrid>
        <w:gridCol w:w="3880"/>
        <w:gridCol w:w="3880"/>
      </w:tblGrid>
      <w:tr>
        <w:tc>
          <w:tcPr/>
          <w:tbl>
            <w:tblPr>
              <w:tblStyle w:val="Table"/>
              <w:tblW w:type="pct" w:w="4900"/>
              <w:tblLayout w:type="fixed"/>
              <w:tblLook w:firstRow="0" w:lastRow="0" w:firstColumn="0" w:lastColumn="0" w:noHBand="0" w:noVBand="0" w:val="0000"/>
            </w:tblPr>
            <w:tblGrid>
              <w:gridCol w:w="7761"/>
            </w:tblGrid>
            <w:tr>
              <w:tc>
                <w:tcPr/>
                <w:bookmarkStart w:id="28" w:name="fig-gf-b"/>
                <w:p>
                  <w:pPr>
                    <w:pStyle w:val="Compact"/>
                    <w:jc w:val="center"/>
                    <w:jc w:val="left"/>
                  </w:pPr>
                  <w:r>
                    <w:drawing>
                      <wp:inline>
                        <wp:extent cx="2971800" cy="3075601"/>
                        <wp:effectExtent b="0" l="0" r="0" t="0"/>
                        <wp:docPr descr="" title="" id="26" name="Picture"/>
                        <a:graphic>
                          <a:graphicData uri="http://schemas.openxmlformats.org/drawingml/2006/picture">
                            <pic:pic>
                              <pic:nvPicPr>
                                <pic:cNvPr descr="assets/module01/gf_b.png" id="27" name="Picture"/>
                                <pic:cNvPicPr>
                                  <a:picLocks noChangeArrowheads="1" noChangeAspect="1"/>
                                </pic:cNvPicPr>
                              </pic:nvPicPr>
                              <pic:blipFill>
                                <a:blip r:embed="rId25"/>
                                <a:stretch>
                                  <a:fillRect/>
                                </a:stretch>
                              </pic:blipFill>
                              <pic:spPr bwMode="auto">
                                <a:xfrm>
                                  <a:off x="0" y="0"/>
                                  <a:ext cx="2971800" cy="3075601"/>
                                </a:xfrm>
                                <a:prstGeom prst="rect">
                                  <a:avLst/>
                                </a:prstGeom>
                                <a:noFill/>
                                <a:ln w="9525">
                                  <a:noFill/>
                                  <a:headEnd/>
                                  <a:tailEnd/>
                                </a:ln>
                              </pic:spPr>
                            </pic:pic>
                          </a:graphicData>
                        </a:graphic>
                      </wp:inline>
                    </w:drawing>
                  </w:r>
                </w:p>
                <w:p>
                  <w:pPr>
                    <w:jc w:val="center"/>
                    <w:jc w:val="left"/>
                  </w:pPr>
                  <w:pPr>
                    <w:jc w:val="left"/>
                    <w:spacing w:before="200"/>
                    <w:pStyle w:val="ImageCaption"/>
                  </w:pPr>
                  <w:r>
                    <w:t xml:space="preserve">(b) weigthed connectity graph per hemilineage</w:t>
                  </w:r>
                </w:p>
                <w:bookmarkEnd w:id="28"/>
              </w:tc>
            </w:tr>
          </w:tbl>
          <w:p/>
        </w:tc>
        <w:tc>
          <w:tcPr/>
          <w:p>
            <w:pPr>
              <w:jc w:val="left"/>
            </w:pPr>
            <w:r>
              <w:t xml:space="preserve"> </w:t>
            </w:r>
          </w:p>
        </w:tc>
      </w:tr>
    </w:tbl>
    <w:p>
      <w:pPr>
        <w:framePr w:w="0" w:h="0" w:vAnchor="margin" w:hAnchor="margin" w:xAlign="right" w:yAlign="top"/>
      </w:pPr>
    </w:p>
    <w:tbl>
      <w:tblPr>
        <w:tblStyle w:val="Table"/>
        <w:tblW w:type="pct" w:w="4900"/>
        <w:tblLayout w:type="fixed"/>
        <w:tblLook w:firstRow="0" w:lastRow="0" w:firstColumn="0" w:lastColumn="0" w:noHBand="0" w:noVBand="0" w:val="0000"/>
      </w:tblPr>
      <w:tblGrid>
        <w:gridCol w:w="3880"/>
        <w:gridCol w:w="3880"/>
      </w:tblGrid>
      <w:tr>
        <w:tc>
          <w:tcPr/>
          <w:tbl>
            <w:tblPr>
              <w:tblStyle w:val="Table"/>
              <w:tblW w:type="pct" w:w="4900"/>
              <w:tblLayout w:type="fixed"/>
              <w:tblLook w:firstRow="0" w:lastRow="0" w:firstColumn="0" w:lastColumn="0" w:noHBand="0" w:noVBand="0" w:val="0000"/>
            </w:tblPr>
            <w:tblGrid>
              <w:gridCol w:w="7761"/>
            </w:tblGrid>
            <w:tr>
              <w:tc>
                <w:tcPr/>
                <w:bookmarkStart w:id="32" w:name="fig-gf-c"/>
                <w:p>
                  <w:pPr>
                    <w:pStyle w:val="Compact"/>
                    <w:jc w:val="center"/>
                    <w:jc w:val="left"/>
                  </w:pPr>
                  <w:r>
                    <w:drawing>
                      <wp:inline>
                        <wp:extent cx="2971800" cy="2909963"/>
                        <wp:effectExtent b="0" l="0" r="0" t="0"/>
                        <wp:docPr descr="" title="" id="30" name="Picture"/>
                        <a:graphic>
                          <a:graphicData uri="http://schemas.openxmlformats.org/drawingml/2006/picture">
                            <pic:pic>
                              <pic:nvPicPr>
                                <pic:cNvPr descr="assets/module01/gf_c.png" id="31" name="Picture"/>
                                <pic:cNvPicPr>
                                  <a:picLocks noChangeArrowheads="1" noChangeAspect="1"/>
                                </pic:cNvPicPr>
                              </pic:nvPicPr>
                              <pic:blipFill>
                                <a:blip r:embed="rId29"/>
                                <a:stretch>
                                  <a:fillRect/>
                                </a:stretch>
                              </pic:blipFill>
                              <pic:spPr bwMode="auto">
                                <a:xfrm>
                                  <a:off x="0" y="0"/>
                                  <a:ext cx="2971800" cy="2909963"/>
                                </a:xfrm>
                                <a:prstGeom prst="rect">
                                  <a:avLst/>
                                </a:prstGeom>
                                <a:noFill/>
                                <a:ln w="9525">
                                  <a:noFill/>
                                  <a:headEnd/>
                                  <a:tailEnd/>
                                </a:ln>
                              </pic:spPr>
                            </pic:pic>
                          </a:graphicData>
                        </a:graphic>
                      </wp:inline>
                    </w:drawing>
                  </w:r>
                </w:p>
                <w:p>
                  <w:pPr>
                    <w:jc w:val="center"/>
                    <w:jc w:val="left"/>
                  </w:pPr>
                  <w:pPr>
                    <w:jc w:val="left"/>
                    <w:spacing w:before="200"/>
                    <w:pStyle w:val="ImageCaption"/>
                  </w:pPr>
                  <w:r>
                    <w:t xml:space="preserve">(c) 3D screenshot of giant fiber- TTMn interface</w:t>
                  </w:r>
                </w:p>
                <w:bookmarkEnd w:id="32"/>
              </w:tc>
            </w:tr>
          </w:tbl>
          <w:p/>
        </w:tc>
        <w:tc>
          <w:tcPr/>
          <w:p>
            <w:pPr>
              <w:jc w:val="left"/>
            </w:pPr>
            <w:r>
              <w:t xml:space="preserve"> </w:t>
            </w:r>
          </w:p>
        </w:tc>
      </w:tr>
    </w:tbl>
    <w:p>
      <w:pPr>
        <w:framePr w:w="0" w:h="0" w:vAnchor="margin" w:hAnchor="margin" w:xAlign="right" w:yAlign="top"/>
      </w:pPr>
    </w:p>
    <w:tbl>
      <w:tblPr>
        <w:tblStyle w:val="Table"/>
        <w:tblW w:type="pct" w:w="4900"/>
        <w:tblLayout w:type="fixed"/>
        <w:tblLook w:firstRow="0" w:lastRow="0" w:firstColumn="0" w:lastColumn="0" w:noHBand="0" w:noVBand="0" w:val="0000"/>
      </w:tblPr>
      <w:tblGrid>
        <w:gridCol w:w="7761"/>
      </w:tblGrid>
      <w:tr>
        <w:tc>
          <w:tcPr/>
          <w:tbl>
            <w:tblPr>
              <w:tblStyle w:val="Table"/>
              <w:tblW w:type="pct" w:w="4900"/>
              <w:tblLayout w:type="fixed"/>
              <w:tblLook w:firstRow="0" w:lastRow="0" w:firstColumn="0" w:lastColumn="0" w:noHBand="0" w:noVBand="0" w:val="0000"/>
            </w:tblPr>
            <w:tblGrid>
              <w:gridCol w:w="7761"/>
            </w:tblGrid>
            <w:tr>
              <w:tc>
                <w:tcPr/>
                <w:bookmarkStart w:id="36" w:name="fig-gf-d"/>
                <w:p>
                  <w:pPr>
                    <w:pStyle w:val="Compact"/>
                    <w:jc w:val="center"/>
                    <w:jc w:val="left"/>
                  </w:pPr>
                  <w:r>
                    <w:drawing>
                      <wp:inline>
                        <wp:extent cx="2971800" cy="1509866"/>
                        <wp:effectExtent b="0" l="0" r="0" t="0"/>
                        <wp:docPr descr="" title="" id="34" name="Picture"/>
                        <a:graphic>
                          <a:graphicData uri="http://schemas.openxmlformats.org/drawingml/2006/picture">
                            <pic:pic>
                              <pic:nvPicPr>
                                <pic:cNvPr descr="assets/module01/gf_d.png" id="35" name="Picture"/>
                                <pic:cNvPicPr>
                                  <a:picLocks noChangeArrowheads="1" noChangeAspect="1"/>
                                </pic:cNvPicPr>
                              </pic:nvPicPr>
                              <pic:blipFill>
                                <a:blip r:embed="rId33"/>
                                <a:stretch>
                                  <a:fillRect/>
                                </a:stretch>
                              </pic:blipFill>
                              <pic:spPr bwMode="auto">
                                <a:xfrm>
                                  <a:off x="0" y="0"/>
                                  <a:ext cx="2971800" cy="1509866"/>
                                </a:xfrm>
                                <a:prstGeom prst="rect">
                                  <a:avLst/>
                                </a:prstGeom>
                                <a:noFill/>
                                <a:ln w="9525">
                                  <a:noFill/>
                                  <a:headEnd/>
                                  <a:tailEnd/>
                                </a:ln>
                              </pic:spPr>
                            </pic:pic>
                          </a:graphicData>
                        </a:graphic>
                      </wp:inline>
                    </w:drawing>
                  </w:r>
                </w:p>
                <w:p>
                  <w:pPr>
                    <w:jc w:val="center"/>
                    <w:jc w:val="left"/>
                  </w:pPr>
                  <w:pPr>
                    <w:jc w:val="left"/>
                    <w:spacing w:before="200"/>
                    <w:pStyle w:val="ImageCaption"/>
                  </w:pPr>
                  <w:r>
                    <w:t xml:space="preserve">(d) 3D screenshot with hemilineage07B added</w:t>
                  </w:r>
                </w:p>
                <w:bookmarkEnd w:id="36"/>
              </w:tc>
            </w:tr>
          </w:tbl>
          <w:p/>
        </w:tc>
      </w:tr>
    </w:tbl>
    <w:p>
      <w:pPr>
        <w:pStyle w:val="BodyText"/>
      </w:pPr>
      <w:pPr>
        <w:spacing w:before="200"/>
        <w:pStyle w:val="ImageCaption"/>
      </w:pPr>
      <w:r>
        <w:t xml:space="preserve">Figure 3: Giant Fiber</w:t>
      </w:r>
    </w:p>
    <w:bookmarkEnd w:id="37"/>
    <w:bookmarkEnd w:id="38"/>
    <w:bookmarkStart w:id="66" w:name="classroom-execution"/>
    <w:p>
      <w:pPr>
        <w:pStyle w:val="Heading3"/>
      </w:pPr>
      <w:r>
        <w:t xml:space="preserve">Classroom Execution</w:t>
      </w:r>
    </w:p>
    <w:bookmarkStart w:id="39" w:name="a.-orientation-in-neuroglancer"/>
    <w:p>
      <w:pPr>
        <w:pStyle w:val="Heading4"/>
      </w:pPr>
      <w:r>
        <w:t xml:space="preserve">A. Orientation in Neuroglancer</w:t>
      </w:r>
    </w:p>
    <w:p>
      <w:pPr>
        <w:pStyle w:val="Compact"/>
        <w:numPr>
          <w:ilvl w:val="0"/>
          <w:numId w:val="1002"/>
        </w:numPr>
      </w:pPr>
      <w:r>
        <w:t xml:space="preserve">Open the Neuroglancer link (see</w:t>
      </w:r>
      <w:r>
        <w:t xml:space="preserve"> </w:t>
      </w:r>
      <w:hyperlink w:anchor="fig-neuroglancer-a">
        <w:r>
          <w:rPr>
            <w:rStyle w:val="Hyperlink"/>
          </w:rPr>
          <w:t xml:space="preserve">Figure 4 (a)</w:t>
        </w:r>
      </w:hyperlink>
      <w:r>
        <w:t xml:space="preserve">).</w:t>
      </w:r>
    </w:p>
    <w:p>
      <w:pPr>
        <w:pStyle w:val="Compact"/>
        <w:numPr>
          <w:ilvl w:val="0"/>
          <w:numId w:val="1002"/>
        </w:numPr>
      </w:pPr>
      <w:r>
        <w:t xml:space="preserve">Identify the following elements: Left panel 1</w:t>
      </w:r>
    </w:p>
    <w:p>
      <w:pPr>
        <w:pStyle w:val="Compact"/>
        <w:numPr>
          <w:ilvl w:val="1"/>
          <w:numId w:val="1003"/>
        </w:numPr>
      </w:pPr>
      <w:r>
        <w:rPr>
          <w:b/>
          <w:bCs/>
        </w:rPr>
        <w:t xml:space="preserve">TTMn</w:t>
      </w:r>
      <w:r>
        <w:t xml:space="preserve"> </w:t>
      </w:r>
      <w:r>
        <w:t xml:space="preserve">(motor neuron; typically highlighted in orange)</w:t>
      </w:r>
    </w:p>
    <w:p>
      <w:pPr>
        <w:pStyle w:val="Compact"/>
        <w:numPr>
          <w:ilvl w:val="1"/>
          <w:numId w:val="1003"/>
        </w:numPr>
      </w:pPr>
      <w:r>
        <w:rPr>
          <w:b/>
          <w:bCs/>
        </w:rPr>
        <w:t xml:space="preserve">GF neuron</w:t>
      </w:r>
      <w:r>
        <w:t xml:space="preserve"> </w:t>
      </w:r>
      <w:r>
        <w:t xml:space="preserve">(command neuron; typically highlighted in blue)</w:t>
      </w:r>
    </w:p>
    <w:p>
      <w:pPr>
        <w:pStyle w:val="Compact"/>
        <w:numPr>
          <w:ilvl w:val="1"/>
          <w:numId w:val="1003"/>
        </w:numPr>
      </w:pPr>
      <w:r>
        <w:rPr>
          <w:b/>
          <w:bCs/>
        </w:rPr>
        <w:t xml:space="preserve">Neuropil boundaries</w:t>
      </w:r>
      <w:r>
        <w:t xml:space="preserve">, focusing on the T2 neuromere</w:t>
      </w:r>
    </w:p>
    <w:p>
      <w:pPr>
        <w:pStyle w:val="Compact"/>
        <w:numPr>
          <w:ilvl w:val="1"/>
          <w:numId w:val="1003"/>
        </w:numPr>
      </w:pPr>
      <w:r>
        <w:rPr>
          <w:b/>
          <w:bCs/>
        </w:rPr>
        <w:t xml:space="preserve">Premotor input neurons</w:t>
      </w:r>
      <w:r>
        <w:t xml:space="preserve"> </w:t>
      </w:r>
      <w:r>
        <w:t xml:space="preserve">(loaded from the query dataset)</w:t>
      </w:r>
    </w:p>
    <w:p>
      <w:pPr>
        <w:pStyle w:val="Compact"/>
        <w:numPr>
          <w:ilvl w:val="1"/>
          <w:numId w:val="1003"/>
        </w:numPr>
      </w:pPr>
      <w:r>
        <w:rPr>
          <w:b/>
          <w:bCs/>
        </w:rPr>
        <w:t xml:space="preserve">Hemilineage reference neurons</w:t>
      </w:r>
      <w:r>
        <w:t xml:space="preserve"> </w:t>
      </w:r>
      <w:r>
        <w:t xml:space="preserve">(to evaluate the proportion of a hemilineage that synapses to the TTMn)</w:t>
      </w:r>
    </w:p>
    <w:p>
      <w:pPr>
        <w:pStyle w:val="Compact"/>
        <w:numPr>
          <w:ilvl w:val="0"/>
          <w:numId w:val="1002"/>
        </w:numPr>
      </w:pPr>
      <w:r>
        <w:t xml:space="preserve">Adjust visualization settings:</w:t>
      </w:r>
    </w:p>
    <w:p>
      <w:pPr>
        <w:pStyle w:val="Compact"/>
        <w:numPr>
          <w:ilvl w:val="1"/>
          <w:numId w:val="1004"/>
        </w:numPr>
      </w:pPr>
      <w:r>
        <w:t xml:space="preserve">Left window, eye icon: Toggle layers on/off to isolate specific neuron populations (see</w:t>
      </w:r>
      <w:r>
        <w:t xml:space="preserve"> </w:t>
      </w:r>
      <w:hyperlink w:anchor="fig-neuroglancer-b">
        <w:r>
          <w:rPr>
            <w:rStyle w:val="Hyperlink"/>
          </w:rPr>
          <w:t xml:space="preserve">Figure 4 (b)</w:t>
        </w:r>
      </w:hyperlink>
      <w:r>
        <w:t xml:space="preserve">,</w:t>
      </w:r>
      <w:r>
        <w:t xml:space="preserve"> </w:t>
      </w:r>
      <w:hyperlink w:anchor="fig-neuroglancer-c">
        <w:r>
          <w:rPr>
            <w:rStyle w:val="Hyperlink"/>
          </w:rPr>
          <w:t xml:space="preserve">Figure 4 (c)</w:t>
        </w:r>
      </w:hyperlink>
      <w:r>
        <w:t xml:space="preserve">).</w:t>
      </w:r>
    </w:p>
    <w:p>
      <w:pPr>
        <w:pStyle w:val="Compact"/>
        <w:numPr>
          <w:ilvl w:val="1"/>
          <w:numId w:val="1004"/>
        </w:numPr>
      </w:pPr>
      <w:r>
        <w:t xml:space="preserve">Right window, Use transparency controls to visualize spatial overlap (see</w:t>
      </w:r>
      <w:r>
        <w:t xml:space="preserve"> </w:t>
      </w:r>
      <w:hyperlink w:anchor="fig-neuroglancer-d">
        <w:r>
          <w:rPr>
            <w:rStyle w:val="Hyperlink"/>
          </w:rPr>
          <w:t xml:space="preserve">Figure 4 (d)</w:t>
        </w:r>
      </w:hyperlink>
      <w:r>
        <w:t xml:space="preserve">)</w:t>
      </w:r>
    </w:p>
    <w:p>
      <w:pPr>
        <w:pStyle w:val="Compact"/>
        <w:numPr>
          <w:ilvl w:val="1"/>
          <w:numId w:val="1004"/>
        </w:numPr>
      </w:pPr>
      <w:r>
        <w:t xml:space="preserve">Rotate to a</w:t>
      </w:r>
      <w:r>
        <w:t xml:space="preserve"> </w:t>
      </w:r>
      <w:r>
        <w:rPr>
          <w:b/>
          <w:bCs/>
        </w:rPr>
        <w:t xml:space="preserve">dorsal view</w:t>
      </w:r>
      <w:r>
        <w:t xml:space="preserve"> </w:t>
      </w:r>
      <w:r>
        <w:t xml:space="preserve">for consistency with Figure 3</w:t>
      </w:r>
    </w:p>
    <w:bookmarkEnd w:id="39"/>
    <w:bookmarkStart w:id="40" w:name="b.-identifying-premotor-inputs"/>
    <w:p>
      <w:pPr>
        <w:pStyle w:val="Heading4"/>
      </w:pPr>
      <w:r>
        <w:t xml:space="preserve">B. Identifying Premotor Inputs</w:t>
      </w:r>
    </w:p>
    <w:p>
      <w:pPr>
        <w:pStyle w:val="Compact"/>
        <w:numPr>
          <w:ilvl w:val="0"/>
          <w:numId w:val="1005"/>
        </w:numPr>
      </w:pPr>
      <w:r>
        <w:t xml:space="preserve">Select individual hemilineage neurons from the dataset layer.</w:t>
      </w:r>
    </w:p>
    <w:p>
      <w:pPr>
        <w:pStyle w:val="Compact"/>
        <w:numPr>
          <w:ilvl w:val="0"/>
          <w:numId w:val="1005"/>
        </w:numPr>
      </w:pPr>
      <w:r>
        <w:t xml:space="preserve">Trace their projections relative to:</w:t>
      </w:r>
    </w:p>
    <w:p>
      <w:pPr>
        <w:pStyle w:val="Compact"/>
        <w:numPr>
          <w:ilvl w:val="1"/>
          <w:numId w:val="1006"/>
        </w:numPr>
      </w:pPr>
      <w:r>
        <w:t xml:space="preserve">The TTMn dendritic field</w:t>
      </w:r>
    </w:p>
    <w:p>
      <w:pPr>
        <w:pStyle w:val="Compact"/>
        <w:numPr>
          <w:ilvl w:val="1"/>
          <w:numId w:val="1006"/>
        </w:numPr>
      </w:pPr>
      <w:r>
        <w:t xml:space="preserve">The GF axon</w:t>
      </w:r>
    </w:p>
    <w:p>
      <w:pPr>
        <w:pStyle w:val="Compact"/>
        <w:numPr>
          <w:ilvl w:val="0"/>
          <w:numId w:val="1005"/>
        </w:numPr>
      </w:pPr>
      <w:r>
        <w:t xml:space="preserve">Use view toggles to:</w:t>
      </w:r>
    </w:p>
    <w:p>
      <w:pPr>
        <w:pStyle w:val="Compact"/>
        <w:numPr>
          <w:ilvl w:val="1"/>
          <w:numId w:val="1007"/>
        </w:numPr>
      </w:pPr>
      <w:r>
        <w:t xml:space="preserve">Highlight synaptic contacts onto the TTMn</w:t>
      </w:r>
    </w:p>
    <w:p>
      <w:pPr>
        <w:pStyle w:val="Compact"/>
        <w:numPr>
          <w:ilvl w:val="1"/>
          <w:numId w:val="1007"/>
        </w:numPr>
      </w:pPr>
      <w:r>
        <w:t xml:space="preserve">Compare morphology across neurons from different hemilineages</w:t>
      </w:r>
    </w:p>
    <w:bookmarkEnd w:id="40"/>
    <w:bookmarkStart w:id="41" w:name="X9ece0423d5178c98a65ca608b4465e904fcf9e3"/>
    <w:p>
      <w:pPr>
        <w:pStyle w:val="Heading4"/>
      </w:pPr>
      <w:r>
        <w:t xml:space="preserve">C. Guided Analysis (connect to main text questions)</w:t>
      </w:r>
    </w:p>
    <w:p>
      <w:pPr>
        <w:pStyle w:val="FirstParagraph"/>
      </w:pPr>
      <w:r>
        <w:t xml:space="preserve">Using the Neuroglancer view and dataset, address the following:</w:t>
      </w:r>
    </w:p>
    <w:p>
      <w:pPr>
        <w:pStyle w:val="Compact"/>
        <w:numPr>
          <w:ilvl w:val="0"/>
          <w:numId w:val="1008"/>
        </w:numPr>
      </w:pPr>
      <w:r>
        <w:t xml:space="preserve">Which hemilineages provide the strongest synaptic input to the TTMn?</w:t>
      </w:r>
    </w:p>
    <w:p>
      <w:pPr>
        <w:pStyle w:val="Compact"/>
        <w:numPr>
          <w:ilvl w:val="0"/>
          <w:numId w:val="1008"/>
        </w:numPr>
      </w:pPr>
      <w:r>
        <w:t xml:space="preserve">Does hemilineage 7B form direct synaptic contacts with the TTMn? Where are these located?</w:t>
      </w:r>
    </w:p>
    <w:p>
      <w:pPr>
        <w:pStyle w:val="Compact"/>
        <w:numPr>
          <w:ilvl w:val="0"/>
          <w:numId w:val="1008"/>
        </w:numPr>
      </w:pPr>
      <w:r>
        <w:t xml:space="preserve">Do neurons from the same hemilineage show similar or diverse morphologies?</w:t>
      </w:r>
    </w:p>
    <w:p>
      <w:pPr>
        <w:pStyle w:val="Compact"/>
        <w:numPr>
          <w:ilvl w:val="0"/>
          <w:numId w:val="1008"/>
        </w:numPr>
      </w:pPr>
      <w:r>
        <w:t xml:space="preserve">How are inputs spatially organized relative to the TTMn dendrites?</w:t>
      </w:r>
    </w:p>
    <w:p>
      <w:pPr>
        <w:pStyle w:val="Compact"/>
        <w:numPr>
          <w:ilvl w:val="0"/>
          <w:numId w:val="1008"/>
        </w:numPr>
      </w:pPr>
      <w:r>
        <w:t xml:space="preserve">Based on neurotransmitter identity, which hemilineages are likely excitatory vs. inhibitory?</w:t>
      </w:r>
      <w:r>
        <w:t xml:space="preserve"> </w:t>
      </w:r>
      <w:r>
        <w:t xml:space="preserve">Tip:</w:t>
      </w:r>
    </w:p>
    <w:p>
      <w:pPr>
        <w:pStyle w:val="Compact"/>
        <w:numPr>
          <w:ilvl w:val="1"/>
          <w:numId w:val="1009"/>
        </w:numPr>
      </w:pPr>
      <w:r>
        <w:t xml:space="preserve">Acetylcholine (ACh) → excitatory</w:t>
      </w:r>
    </w:p>
    <w:p>
      <w:pPr>
        <w:pStyle w:val="Compact"/>
        <w:numPr>
          <w:ilvl w:val="1"/>
          <w:numId w:val="1009"/>
        </w:numPr>
      </w:pPr>
      <w:r>
        <w:t xml:space="preserve">Glutamate (Glu) → often excitatory</w:t>
      </w:r>
    </w:p>
    <w:p>
      <w:pPr>
        <w:pStyle w:val="Compact"/>
        <w:numPr>
          <w:ilvl w:val="1"/>
          <w:numId w:val="1009"/>
        </w:numPr>
      </w:pPr>
      <w:r>
        <w:t xml:space="preserve">GABA → inhibitory?</w:t>
      </w:r>
    </w:p>
    <w:p>
      <w:pPr>
        <w:pStyle w:val="Compact"/>
        <w:numPr>
          <w:ilvl w:val="0"/>
          <w:numId w:val="1008"/>
        </w:numPr>
      </w:pPr>
      <w:r>
        <w:t xml:space="preserve">How might these chemical inputs interact with the fast electrical GF→TTMn pathway?</w:t>
      </w:r>
    </w:p>
    <w:bookmarkEnd w:id="41"/>
    <w:bookmarkStart w:id="65" w:name="X26da0ef731edb8c2d9a3f3797550f3e053c8aea"/>
    <w:p>
      <w:pPr>
        <w:pStyle w:val="Heading4"/>
      </w:pPr>
      <w:r>
        <w:t xml:space="preserve">D. Linking Structure to Hemilineage Identity (Advanced)</w:t>
      </w:r>
    </w:p>
    <w:p>
      <w:pPr>
        <w:pStyle w:val="Compact"/>
        <w:numPr>
          <w:ilvl w:val="0"/>
          <w:numId w:val="1010"/>
        </w:numPr>
      </w:pPr>
      <w:r>
        <w:t xml:space="preserve">Cross-reference selected neurons with</w:t>
      </w:r>
      <w:r>
        <w:t xml:space="preserve"> </w:t>
      </w:r>
      <w:hyperlink w:anchor="tbl-manc-ids">
        <w:r>
          <w:rPr>
            <w:rStyle w:val="Hyperlink"/>
          </w:rPr>
          <w:t xml:space="preserve">Table 1</w:t>
        </w:r>
      </w:hyperlink>
      <w:r>
        <w:t xml:space="preserve">:</w:t>
      </w:r>
    </w:p>
    <w:p>
      <w:pPr>
        <w:pStyle w:val="Compact"/>
        <w:numPr>
          <w:ilvl w:val="1"/>
          <w:numId w:val="1011"/>
        </w:numPr>
      </w:pPr>
      <w:r>
        <w:t xml:space="preserve">Identify their hemilineage assignment</w:t>
      </w:r>
    </w:p>
    <w:p>
      <w:pPr>
        <w:pStyle w:val="Compact"/>
        <w:numPr>
          <w:ilvl w:val="1"/>
          <w:numId w:val="1011"/>
        </w:numPr>
      </w:pPr>
      <w:r>
        <w:t xml:space="preserve">Note synapse counts onto TTMn</w:t>
      </w:r>
    </w:p>
    <w:p>
      <w:pPr>
        <w:pStyle w:val="Compact"/>
        <w:numPr>
          <w:ilvl w:val="1"/>
          <w:numId w:val="1011"/>
        </w:numPr>
      </w:pPr>
      <w:r>
        <w:t xml:space="preserve">Record neurotransmitter identity</w:t>
      </w:r>
    </w:p>
    <w:p>
      <w:pPr>
        <w:pStyle w:val="Compact"/>
        <w:numPr>
          <w:ilvl w:val="0"/>
          <w:numId w:val="1010"/>
        </w:numPr>
      </w:pPr>
      <w:r>
        <w:t xml:space="preserve">For each hemilineage:</w:t>
      </w:r>
    </w:p>
    <w:p>
      <w:pPr>
        <w:pStyle w:val="Compact"/>
        <w:numPr>
          <w:ilvl w:val="1"/>
          <w:numId w:val="1012"/>
        </w:numPr>
      </w:pPr>
      <w:r>
        <w:t xml:space="preserve">Determine how many neurons contribute input to the TTMn</w:t>
      </w:r>
    </w:p>
    <w:p>
      <w:pPr>
        <w:pStyle w:val="Compact"/>
        <w:numPr>
          <w:ilvl w:val="1"/>
          <w:numId w:val="1012"/>
        </w:numPr>
      </w:pPr>
      <w:r>
        <w:t xml:space="preserve">Estimate their relative contribution to total TTMn input</w:t>
      </w:r>
    </w:p>
    <w:bookmarkStart w:id="64" w:name="fig-neuroglancer"/>
    <w:tbl>
      <w:tblPr>
        <w:tblStyle w:val="Table"/>
        <w:tblW w:type="pct" w:w="4900"/>
        <w:tblLayout w:type="fixed"/>
        <w:tblLook w:firstRow="0" w:lastRow="0" w:firstColumn="0" w:lastColumn="0" w:noHBand="0" w:noVBand="0" w:val="0000"/>
      </w:tblPr>
      <w:tblGrid>
        <w:gridCol w:w="7761"/>
      </w:tblGrid>
      <w:tr>
        <w:tc>
          <w:tcPr/>
          <w:tbl>
            <w:tblPr>
              <w:tblStyle w:val="Table"/>
              <w:tblW w:type="pct" w:w="4900"/>
              <w:tblLayout w:type="fixed"/>
              <w:tblLook w:firstRow="0" w:lastRow="0" w:firstColumn="0" w:lastColumn="0" w:noHBand="0" w:noVBand="0" w:val="0000"/>
            </w:tblPr>
            <w:tblGrid>
              <w:gridCol w:w="7761"/>
            </w:tblGrid>
            <w:tr>
              <w:tc>
                <w:tcPr/>
                <w:bookmarkStart w:id="45" w:name="fig-neuroglancer-a"/>
                <w:p>
                  <w:pPr>
                    <w:pStyle w:val="Compact"/>
                    <w:jc w:val="center"/>
                    <w:jc w:val="left"/>
                  </w:pPr>
                  <w:r>
                    <w:drawing>
                      <wp:inline>
                        <wp:extent cx="5334000" cy="2667000"/>
                        <wp:effectExtent b="0" l="0" r="0" t="0"/>
                        <wp:docPr descr="" title="" id="43" name="Picture"/>
                        <a:graphic>
                          <a:graphicData uri="http://schemas.openxmlformats.org/drawingml/2006/picture">
                            <pic:pic>
                              <pic:nvPicPr>
                                <pic:cNvPr descr="assets/module01/neuroglancer_a.png" id="44" name="Picture"/>
                                <pic:cNvPicPr>
                                  <a:picLocks noChangeArrowheads="1" noChangeAspect="1"/>
                                </pic:cNvPicPr>
                              </pic:nvPicPr>
                              <pic:blipFill>
                                <a:blip r:embed="rId42"/>
                                <a:stretch>
                                  <a:fillRect/>
                                </a:stretch>
                              </pic:blipFill>
                              <pic:spPr bwMode="auto">
                                <a:xfrm>
                                  <a:off x="0" y="0"/>
                                  <a:ext cx="5334000" cy="2667000"/>
                                </a:xfrm>
                                <a:prstGeom prst="rect">
                                  <a:avLst/>
                                </a:prstGeom>
                                <a:noFill/>
                                <a:ln w="9525">
                                  <a:noFill/>
                                  <a:headEnd/>
                                  <a:tailEnd/>
                                </a:ln>
                              </pic:spPr>
                            </pic:pic>
                          </a:graphicData>
                        </a:graphic>
                      </wp:inline>
                    </w:drawing>
                  </w:r>
                </w:p>
                <w:p>
                  <w:pPr>
                    <w:jc w:val="center"/>
                    <w:jc w:val="left"/>
                  </w:pPr>
                  <w:pPr>
                    <w:jc w:val="left"/>
                    <w:spacing w:before="200"/>
                    <w:pStyle w:val="ImageCaption"/>
                  </w:pPr>
                  <w:r>
                    <w:t xml:space="preserve">(a) Layer control</w:t>
                  </w:r>
                </w:p>
                <w:bookmarkEnd w:id="45"/>
              </w:tc>
            </w:tr>
          </w:tbl>
          <w:p/>
        </w:tc>
      </w:tr>
    </w:tbl>
    <w:p>
      <w:pPr>
        <w:framePr w:w="0" w:h="0" w:vAnchor="margin" w:hAnchor="margin" w:xAlign="right" w:yAlign="top"/>
      </w:pPr>
    </w:p>
    <w:tbl>
      <w:tblPr>
        <w:tblStyle w:val="Table"/>
        <w:tblW w:type="pct" w:w="4900"/>
        <w:tblLayout w:type="fixed"/>
        <w:tblLook w:firstRow="0" w:lastRow="0" w:firstColumn="0" w:lastColumn="0" w:noHBand="0" w:noVBand="0" w:val="0000"/>
      </w:tblPr>
      <w:tblGrid>
        <w:gridCol w:w="3880"/>
        <w:gridCol w:w="3880"/>
      </w:tblGrid>
      <w:tr>
        <w:tc>
          <w:tcPr/>
          <w:p>
            <w:pPr>
              <w:jc w:val="left"/>
            </w:pPr>
            <w:r>
              <w:t xml:space="preserve"> </w:t>
            </w:r>
          </w:p>
        </w:tc>
        <w:tc>
          <w:tcPr/>
          <w:tbl>
            <w:tblPr>
              <w:tblStyle w:val="Table"/>
              <w:tblW w:type="pct" w:w="4900"/>
              <w:tblLayout w:type="fixed"/>
              <w:tblLook w:firstRow="0" w:lastRow="0" w:firstColumn="0" w:lastColumn="0" w:noHBand="0" w:noVBand="0" w:val="0000"/>
            </w:tblPr>
            <w:tblGrid>
              <w:gridCol w:w="7761"/>
            </w:tblGrid>
            <w:tr>
              <w:tc>
                <w:tcPr/>
                <w:bookmarkStart w:id="50" w:name="fig-neuroglancer-b"/>
                <w:p>
                  <w:pPr>
                    <w:pStyle w:val="Compact"/>
                    <w:jc w:val="center"/>
                    <w:jc w:val="left"/>
                  </w:pPr>
                  <w:bookmarkStart w:id="49" w:name="fig-neuroglancer-b"/>
                  <w:r>
                    <w:drawing>
                      <wp:inline>
                        <wp:extent cx="2971800" cy="2730341"/>
                        <wp:effectExtent b="0" l="0" r="0" t="0"/>
                        <wp:docPr descr="" title="" id="47" name="Picture"/>
                        <a:graphic>
                          <a:graphicData uri="http://schemas.openxmlformats.org/drawingml/2006/picture">
                            <pic:pic>
                              <pic:nvPicPr>
                                <pic:cNvPr descr="assets/module01/neuroglancer_b.png" id="48" name="Picture"/>
                                <pic:cNvPicPr>
                                  <a:picLocks noChangeArrowheads="1" noChangeAspect="1"/>
                                </pic:cNvPicPr>
                              </pic:nvPicPr>
                              <pic:blipFill>
                                <a:blip r:embed="rId46"/>
                                <a:stretch>
                                  <a:fillRect/>
                                </a:stretch>
                              </pic:blipFill>
                              <pic:spPr bwMode="auto">
                                <a:xfrm>
                                  <a:off x="0" y="0"/>
                                  <a:ext cx="2971800" cy="2730341"/>
                                </a:xfrm>
                                <a:prstGeom prst="rect">
                                  <a:avLst/>
                                </a:prstGeom>
                                <a:noFill/>
                                <a:ln w="9525">
                                  <a:noFill/>
                                  <a:headEnd/>
                                  <a:tailEnd/>
                                </a:ln>
                              </pic:spPr>
                            </pic:pic>
                          </a:graphicData>
                        </a:graphic>
                      </wp:inline>
                    </w:drawing>
                  </w:r>
                  <w:bookmarkEnd w:id="49"/>
                </w:p>
                <w:p>
                  <w:pPr>
                    <w:jc w:val="center"/>
                    <w:jc w:val="left"/>
                  </w:pPr>
                  <w:pPr>
                    <w:jc w:val="left"/>
                    <w:spacing w:before="200"/>
                    <w:pStyle w:val="ImageCaption"/>
                  </w:pPr>
                  <w:r>
                    <w:t xml:space="preserve">(b)</w:t>
                  </w:r>
                </w:p>
                <w:bookmarkEnd w:id="50"/>
              </w:tc>
            </w:tr>
          </w:tbl>
          <w:p/>
        </w:tc>
      </w:tr>
    </w:tbl>
    <w:p>
      <w:pPr>
        <w:framePr w:w="0" w:h="0" w:vAnchor="margin" w:hAnchor="margin" w:xAlign="right" w:yAlign="top"/>
      </w:pPr>
    </w:p>
    <w:tbl>
      <w:tblPr>
        <w:tblStyle w:val="Table"/>
        <w:tblW w:type="pct" w:w="4900"/>
        <w:tblLayout w:type="fixed"/>
        <w:tblLook w:firstRow="0" w:lastRow="0" w:firstColumn="0" w:lastColumn="0" w:noHBand="0" w:noVBand="0" w:val="0000"/>
      </w:tblPr>
      <w:tblGrid>
        <w:gridCol w:w="3880"/>
        <w:gridCol w:w="3880"/>
      </w:tblGrid>
      <w:tr>
        <w:tc>
          <w:tcPr/>
          <w:p>
            <w:pPr>
              <w:jc w:val="left"/>
            </w:pPr>
            <w:r>
              <w:t xml:space="preserve"> </w:t>
            </w:r>
          </w:p>
        </w:tc>
        <w:tc>
          <w:tcPr/>
          <w:tbl>
            <w:tblPr>
              <w:tblStyle w:val="Table"/>
              <w:tblW w:type="pct" w:w="4900"/>
              <w:tblLayout w:type="fixed"/>
              <w:tblLook w:firstRow="0" w:lastRow="0" w:firstColumn="0" w:lastColumn="0" w:noHBand="0" w:noVBand="0" w:val="0000"/>
            </w:tblPr>
            <w:tblGrid>
              <w:gridCol w:w="7761"/>
            </w:tblGrid>
            <w:tr>
              <w:tc>
                <w:tcPr/>
                <w:bookmarkStart w:id="55" w:name="fig-neuroglancer-c"/>
                <w:p>
                  <w:pPr>
                    <w:pStyle w:val="Compact"/>
                    <w:jc w:val="center"/>
                    <w:jc w:val="left"/>
                  </w:pPr>
                  <w:bookmarkStart w:id="54" w:name="fig-neuroglancer-c"/>
                  <w:r>
                    <w:drawing>
                      <wp:inline>
                        <wp:extent cx="3968496" cy="2847395"/>
                        <wp:effectExtent b="0" l="0" r="0" t="0"/>
                        <wp:docPr descr="" title="" id="52" name="Picture"/>
                        <a:graphic>
                          <a:graphicData uri="http://schemas.openxmlformats.org/drawingml/2006/picture">
                            <pic:pic>
                              <pic:nvPicPr>
                                <pic:cNvPr descr="assets/module01/neuroglancer_c.png" id="53" name="Picture"/>
                                <pic:cNvPicPr>
                                  <a:picLocks noChangeArrowheads="1" noChangeAspect="1"/>
                                </pic:cNvPicPr>
                              </pic:nvPicPr>
                              <pic:blipFill>
                                <a:blip r:embed="rId51"/>
                                <a:stretch>
                                  <a:fillRect/>
                                </a:stretch>
                              </pic:blipFill>
                              <pic:spPr bwMode="auto">
                                <a:xfrm>
                                  <a:off x="0" y="0"/>
                                  <a:ext cx="3968496" cy="2847395"/>
                                </a:xfrm>
                                <a:prstGeom prst="rect">
                                  <a:avLst/>
                                </a:prstGeom>
                                <a:noFill/>
                                <a:ln w="9525">
                                  <a:noFill/>
                                  <a:headEnd/>
                                  <a:tailEnd/>
                                </a:ln>
                              </pic:spPr>
                            </pic:pic>
                          </a:graphicData>
                        </a:graphic>
                      </wp:inline>
                    </w:drawing>
                  </w:r>
                  <w:bookmarkEnd w:id="54"/>
                </w:p>
                <w:p>
                  <w:pPr>
                    <w:jc w:val="center"/>
                    <w:jc w:val="left"/>
                  </w:pPr>
                  <w:pPr>
                    <w:jc w:val="left"/>
                    <w:spacing w:before="200"/>
                    <w:pStyle w:val="ImageCaption"/>
                  </w:pPr>
                  <w:r>
                    <w:t xml:space="preserve">(c)</w:t>
                  </w:r>
                </w:p>
                <w:bookmarkEnd w:id="55"/>
              </w:tc>
            </w:tr>
          </w:tbl>
          <w:p/>
        </w:tc>
      </w:tr>
    </w:tbl>
    <w:p>
      <w:pPr>
        <w:framePr w:w="0" w:h="0" w:vAnchor="margin" w:hAnchor="margin" w:xAlign="right" w:yAlign="top"/>
      </w:pPr>
    </w:p>
    <w:tbl>
      <w:tblPr>
        <w:tblStyle w:val="Table"/>
        <w:tblW w:type="pct" w:w="4900"/>
        <w:tblLayout w:type="fixed"/>
        <w:tblLook w:firstRow="0" w:lastRow="0" w:firstColumn="0" w:lastColumn="0" w:noHBand="0" w:noVBand="0" w:val="0000"/>
      </w:tblPr>
      <w:tblGrid>
        <w:gridCol w:w="3880"/>
        <w:gridCol w:w="3880"/>
      </w:tblGrid>
      <w:tr>
        <w:tc>
          <w:tcPr/>
          <w:p>
            <w:pPr>
              <w:jc w:val="left"/>
            </w:pPr>
            <w:r>
              <w:t xml:space="preserve"> </w:t>
            </w:r>
          </w:p>
        </w:tc>
        <w:tc>
          <w:tcPr/>
          <w:tbl>
            <w:tblPr>
              <w:tblStyle w:val="Table"/>
              <w:tblW w:type="pct" w:w="4900"/>
              <w:tblLayout w:type="fixed"/>
              <w:tblLook w:firstRow="0" w:lastRow="0" w:firstColumn="0" w:lastColumn="0" w:noHBand="0" w:noVBand="0" w:val="0000"/>
            </w:tblPr>
            <w:tblGrid>
              <w:gridCol w:w="7761"/>
            </w:tblGrid>
            <w:tr>
              <w:tc>
                <w:tcPr/>
                <w:bookmarkStart w:id="59" w:name="fig-neuroglancer-d"/>
                <w:p>
                  <w:pPr>
                    <w:pStyle w:val="Compact"/>
                    <w:jc w:val="center"/>
                    <w:jc w:val="left"/>
                  </w:pPr>
                  <w:r>
                    <w:drawing>
                      <wp:inline>
                        <wp:extent cx="3968496" cy="4128474"/>
                        <wp:effectExtent b="0" l="0" r="0" t="0"/>
                        <wp:docPr descr="" title="" id="57" name="Picture"/>
                        <a:graphic>
                          <a:graphicData uri="http://schemas.openxmlformats.org/drawingml/2006/picture">
                            <pic:pic>
                              <pic:nvPicPr>
                                <pic:cNvPr descr="assets/module01/neuroglancer_d.png" id="58" name="Picture"/>
                                <pic:cNvPicPr>
                                  <a:picLocks noChangeArrowheads="1" noChangeAspect="1"/>
                                </pic:cNvPicPr>
                              </pic:nvPicPr>
                              <pic:blipFill>
                                <a:blip r:embed="rId56"/>
                                <a:stretch>
                                  <a:fillRect/>
                                </a:stretch>
                              </pic:blipFill>
                              <pic:spPr bwMode="auto">
                                <a:xfrm>
                                  <a:off x="0" y="0"/>
                                  <a:ext cx="3968496" cy="4128474"/>
                                </a:xfrm>
                                <a:prstGeom prst="rect">
                                  <a:avLst/>
                                </a:prstGeom>
                                <a:noFill/>
                                <a:ln w="9525">
                                  <a:noFill/>
                                  <a:headEnd/>
                                  <a:tailEnd/>
                                </a:ln>
                              </pic:spPr>
                            </pic:pic>
                          </a:graphicData>
                        </a:graphic>
                      </wp:inline>
                    </w:drawing>
                  </w:r>
                </w:p>
                <w:p>
                  <w:pPr>
                    <w:jc w:val="center"/>
                    <w:jc w:val="left"/>
                  </w:pPr>
                  <w:pPr>
                    <w:jc w:val="left"/>
                    <w:spacing w:before="200"/>
                    <w:pStyle w:val="ImageCaption"/>
                  </w:pPr>
                  <w:r>
                    <w:t xml:space="preserve">(d) Render tab</w:t>
                  </w:r>
                </w:p>
                <w:bookmarkEnd w:id="59"/>
              </w:tc>
            </w:tr>
          </w:tbl>
          <w:p/>
        </w:tc>
      </w:tr>
    </w:tbl>
    <w:p>
      <w:pPr>
        <w:framePr w:w="0" w:h="0" w:vAnchor="margin" w:hAnchor="margin" w:xAlign="right" w:yAlign="top"/>
      </w:pPr>
    </w:p>
    <w:tbl>
      <w:tblPr>
        <w:tblStyle w:val="Table"/>
        <w:tblW w:type="pct" w:w="4900"/>
        <w:tblLayout w:type="fixed"/>
        <w:tblLook w:firstRow="0" w:lastRow="0" w:firstColumn="0" w:lastColumn="0" w:noHBand="0" w:noVBand="0" w:val="0000"/>
      </w:tblPr>
      <w:tblGrid>
        <w:gridCol w:w="3880"/>
        <w:gridCol w:w="3880"/>
      </w:tblGrid>
      <w:tr>
        <w:tc>
          <w:tcPr/>
          <w:p>
            <w:pPr>
              <w:jc w:val="left"/>
            </w:pPr>
            <w:r>
              <w:t xml:space="preserve"> </w:t>
            </w:r>
          </w:p>
        </w:tc>
        <w:tc>
          <w:tcPr/>
          <w:tbl>
            <w:tblPr>
              <w:tblStyle w:val="Table"/>
              <w:tblW w:type="pct" w:w="4900"/>
              <w:tblLayout w:type="fixed"/>
              <w:tblLook w:firstRow="0" w:lastRow="0" w:firstColumn="0" w:lastColumn="0" w:noHBand="0" w:noVBand="0" w:val="0000"/>
            </w:tblPr>
            <w:tblGrid>
              <w:gridCol w:w="7761"/>
            </w:tblGrid>
            <w:tr>
              <w:tc>
                <w:tcPr/>
                <w:bookmarkStart w:id="63" w:name="fig-neuroglancer-e"/>
                <w:p>
                  <w:pPr>
                    <w:pStyle w:val="Compact"/>
                    <w:jc w:val="center"/>
                    <w:jc w:val="left"/>
                  </w:pPr>
                  <w:r>
                    <w:drawing>
                      <wp:inline>
                        <wp:extent cx="3968496" cy="2683682"/>
                        <wp:effectExtent b="0" l="0" r="0" t="0"/>
                        <wp:docPr descr="" title="" id="61" name="Picture"/>
                        <a:graphic>
                          <a:graphicData uri="http://schemas.openxmlformats.org/drawingml/2006/picture">
                            <pic:pic>
                              <pic:nvPicPr>
                                <pic:cNvPr descr="assets/module01/neuroglancer_e.png" id="62" name="Picture"/>
                                <pic:cNvPicPr>
                                  <a:picLocks noChangeArrowheads="1" noChangeAspect="1"/>
                                </pic:cNvPicPr>
                              </pic:nvPicPr>
                              <pic:blipFill>
                                <a:blip r:embed="rId60"/>
                                <a:stretch>
                                  <a:fillRect/>
                                </a:stretch>
                              </pic:blipFill>
                              <pic:spPr bwMode="auto">
                                <a:xfrm>
                                  <a:off x="0" y="0"/>
                                  <a:ext cx="3968496" cy="2683682"/>
                                </a:xfrm>
                                <a:prstGeom prst="rect">
                                  <a:avLst/>
                                </a:prstGeom>
                                <a:noFill/>
                                <a:ln w="9525">
                                  <a:noFill/>
                                  <a:headEnd/>
                                  <a:tailEnd/>
                                </a:ln>
                              </pic:spPr>
                            </pic:pic>
                          </a:graphicData>
                        </a:graphic>
                      </wp:inline>
                    </w:drawing>
                  </w:r>
                </w:p>
                <w:p>
                  <w:pPr>
                    <w:jc w:val="center"/>
                    <w:jc w:val="left"/>
                  </w:pPr>
                  <w:pPr>
                    <w:jc w:val="left"/>
                    <w:spacing w:before="200"/>
                    <w:pStyle w:val="ImageCaption"/>
                  </w:pPr>
                  <w:r>
                    <w:t xml:space="preserve">(e) Segmentation tab</w:t>
                  </w:r>
                </w:p>
                <w:bookmarkEnd w:id="63"/>
              </w:tc>
            </w:tr>
          </w:tbl>
          <w:p/>
        </w:tc>
      </w:tr>
    </w:tbl>
    <w:p>
      <w:pPr>
        <w:pStyle w:val="BodyText"/>
      </w:pPr>
      <w:pPr>
        <w:spacing w:before="200"/>
        <w:pStyle w:val="ImageCaption"/>
      </w:pPr>
      <w:r>
        <w:t xml:space="preserve">Figure 4: Neuroglancer</w:t>
      </w:r>
    </w:p>
    <w:bookmarkEnd w:id="64"/>
    <w:bookmarkEnd w:id="65"/>
    <w:bookmarkEnd w:id="66"/>
    <w:bookmarkStart w:id="68" w:name="hemilineage"/>
    <w:p>
      <w:pPr>
        <w:pStyle w:val="Heading3"/>
      </w:pPr>
      <w:r>
        <w:t xml:space="preserve">Hemilineage</w:t>
      </w:r>
    </w:p>
    <w:tbl>
      <w:tblPr>
        <w:tblStyle w:val="Table"/>
        <w:tblW w:type="pct" w:w="5000"/>
        <w:tblLayout w:type="fixed"/>
        <w:tblLook w:firstRow="0" w:lastRow="0" w:firstColumn="0" w:lastColumn="0" w:noHBand="0" w:noVBand="0" w:val="0000"/>
      </w:tblPr>
      <w:tblGrid>
        <w:gridCol w:w="7920"/>
      </w:tblGrid>
      <w:tr>
        <w:tc>
          <w:tcPr/>
          <w:bookmarkStart w:id="67" w:name="tbl-manc-ids"/>
          <w:p>
            <w:pPr>
              <w:jc w:val="center"/>
            </w:pPr>
            <w:pPr>
              <w:jc w:val="left"/>
              <w:spacing w:before="200"/>
              <w:pStyle w:val="ImageCaption"/>
            </w:pPr>
            <w:r>
              <w:t xml:space="preserve">Table 1: Hemilineage</w:t>
            </w:r>
          </w:p>
          <w:tbl>
            <w:tblPr>
              <w:tblStyle w:val="Table"/>
              <w:tblW w:type="pct" w:w="5000"/>
              <w:tblLayout w:type="fixed"/>
              <w:tblLook w:firstRow="1" w:lastRow="0" w:firstColumn="0" w:lastColumn="0" w:noHBand="0" w:noVBand="0" w:val="0020"/>
            </w:tblPr>
            <w:tblGrid>
              <w:gridCol w:w="792"/>
              <w:gridCol w:w="3564"/>
              <w:gridCol w:w="3564"/>
            </w:tblGrid>
            <w:tr>
              <w:trPr>
                <w:tblHeader w:val="on"/>
              </w:trPr>
              <w:tc>
                <w:tcPr/>
                <w:p>
                  <w:pPr>
                    <w:pStyle w:val="Compact"/>
                    <w:jc w:val="center"/>
                  </w:pPr>
                  <w:r>
                    <w:rPr>
                      <w:b/>
                      <w:bCs/>
                    </w:rPr>
                    <w:t xml:space="preserve">Hemilineage</w:t>
                  </w:r>
                </w:p>
              </w:tc>
              <w:tc>
                <w:tcPr/>
                <w:p>
                  <w:pPr>
                    <w:pStyle w:val="Compact"/>
                    <w:jc w:val="center"/>
                  </w:pPr>
                  <w:r>
                    <w:rPr>
                      <w:b/>
                      <w:bCs/>
                    </w:rPr>
                    <w:t xml:space="preserve">Row Labels</w:t>
                  </w:r>
                </w:p>
              </w:tc>
              <w:tc>
                <w:tcPr/>
                <w:p>
                  <w:pPr>
                    <w:pStyle w:val="Compact"/>
                    <w:jc w:val="center"/>
                  </w:pPr>
                  <w:r>
                    <w:rPr>
                      <w:b/>
                      <w:bCs/>
                    </w:rPr>
                    <w:t xml:space="preserve">Sum of c.weight</w:t>
                  </w:r>
                </w:p>
              </w:tc>
            </w:tr>
            <w:tr>
              <w:tc>
                <w:tcPr/>
                <w:p>
                  <w:pPr>
                    <w:pStyle w:val="Compact"/>
                    <w:jc w:val="center"/>
                  </w:pPr>
                  <w:r>
                    <w:t xml:space="preserve">17A</w:t>
                  </w:r>
                </w:p>
              </w:tc>
              <w:tc>
                <w:tcPr/>
                <w:p>
                  <w:pPr>
                    <w:pStyle w:val="Compact"/>
                    <w:jc w:val="center"/>
                  </w:pPr>
                  <w:r>
                    <w:t xml:space="preserve">11404</w:t>
                  </w:r>
                </w:p>
              </w:tc>
              <w:tc>
                <w:tcPr/>
                <w:p>
                  <w:pPr>
                    <w:pStyle w:val="Compact"/>
                    <w:jc w:val="center"/>
                  </w:pPr>
                  <w:r>
                    <w:t xml:space="preserve">10</w:t>
                  </w:r>
                </w:p>
              </w:tc>
            </w:tr>
            <w:tr>
              <w:tc>
                <w:tcPr/>
                <w:p>
                  <w:pPr>
                    <w:pStyle w:val="Compact"/>
                    <w:jc w:val="center"/>
                  </w:pPr>
                  <w:r>
                    <w:t xml:space="preserve">08A</w:t>
                  </w:r>
                </w:p>
              </w:tc>
              <w:tc>
                <w:tcPr/>
                <w:p>
                  <w:pPr>
                    <w:pStyle w:val="Compact"/>
                    <w:jc w:val="center"/>
                  </w:pPr>
                  <w:r>
                    <w:t xml:space="preserve">22549</w:t>
                  </w:r>
                </w:p>
              </w:tc>
              <w:tc>
                <w:tcPr/>
                <w:p>
                  <w:pPr>
                    <w:pStyle w:val="Compact"/>
                    <w:jc w:val="center"/>
                  </w:pPr>
                  <w:r>
                    <w:t xml:space="preserve">12</w:t>
                  </w:r>
                </w:p>
              </w:tc>
            </w:tr>
            <w:tr>
              <w:tc>
                <w:tcPr/>
                <w:p>
                  <w:pPr>
                    <w:pStyle w:val="Compact"/>
                  </w:pPr>
                </w:p>
              </w:tc>
              <w:tc>
                <w:tcPr/>
                <w:p>
                  <w:pPr>
                    <w:pStyle w:val="Compact"/>
                    <w:jc w:val="center"/>
                  </w:pPr>
                  <w:r>
                    <w:t xml:space="preserve">169711</w:t>
                  </w:r>
                </w:p>
              </w:tc>
              <w:tc>
                <w:tcPr/>
                <w:p>
                  <w:pPr>
                    <w:pStyle w:val="Compact"/>
                    <w:jc w:val="center"/>
                  </w:pPr>
                  <w:r>
                    <w:t xml:space="preserve">10</w:t>
                  </w:r>
                </w:p>
              </w:tc>
            </w:tr>
            <w:tr>
              <w:tc>
                <w:tcPr/>
                <w:p>
                  <w:pPr>
                    <w:pStyle w:val="Compact"/>
                    <w:jc w:val="center"/>
                  </w:pPr>
                  <w:r>
                    <w:t xml:space="preserve">00A</w:t>
                  </w:r>
                </w:p>
              </w:tc>
              <w:tc>
                <w:tcPr/>
                <w:p>
                  <w:pPr>
                    <w:pStyle w:val="Compact"/>
                    <w:jc w:val="center"/>
                  </w:pPr>
                  <w:r>
                    <w:t xml:space="preserve">16388</w:t>
                  </w:r>
                </w:p>
              </w:tc>
              <w:tc>
                <w:tcPr/>
                <w:p>
                  <w:pPr>
                    <w:pStyle w:val="Compact"/>
                    <w:jc w:val="center"/>
                  </w:pPr>
                  <w:r>
                    <w:t xml:space="preserve">15</w:t>
                  </w:r>
                </w:p>
              </w:tc>
            </w:tr>
            <w:tr>
              <w:tc>
                <w:tcPr/>
                <w:p>
                  <w:pPr>
                    <w:pStyle w:val="Compact"/>
                  </w:pPr>
                </w:p>
              </w:tc>
              <w:tc>
                <w:tcPr/>
                <w:p>
                  <w:pPr>
                    <w:pStyle w:val="Compact"/>
                    <w:jc w:val="center"/>
                  </w:pPr>
                  <w:r>
                    <w:t xml:space="preserve">17047</w:t>
                  </w:r>
                </w:p>
              </w:tc>
              <w:tc>
                <w:tcPr/>
                <w:p>
                  <w:pPr>
                    <w:pStyle w:val="Compact"/>
                    <w:jc w:val="center"/>
                  </w:pPr>
                  <w:r>
                    <w:t xml:space="preserve">12</w:t>
                  </w:r>
                </w:p>
              </w:tc>
            </w:tr>
            <w:tr>
              <w:tc>
                <w:tcPr/>
                <w:p>
                  <w:pPr>
                    <w:pStyle w:val="Compact"/>
                    <w:jc w:val="center"/>
                  </w:pPr>
                  <w:r>
                    <w:t xml:space="preserve">12B</w:t>
                  </w:r>
                </w:p>
              </w:tc>
              <w:tc>
                <w:tcPr/>
                <w:p>
                  <w:pPr>
                    <w:pStyle w:val="Compact"/>
                    <w:jc w:val="center"/>
                  </w:pPr>
                  <w:r>
                    <w:t xml:space="preserve">29239</w:t>
                  </w:r>
                </w:p>
              </w:tc>
              <w:tc>
                <w:tcPr/>
                <w:p>
                  <w:pPr>
                    <w:pStyle w:val="Compact"/>
                    <w:jc w:val="center"/>
                  </w:pPr>
                  <w:r>
                    <w:t xml:space="preserve">33</w:t>
                  </w:r>
                </w:p>
              </w:tc>
            </w:tr>
            <w:tr>
              <w:tc>
                <w:tcPr/>
                <w:p>
                  <w:pPr>
                    <w:pStyle w:val="Compact"/>
                    <w:jc w:val="center"/>
                  </w:pPr>
                  <w:r>
                    <w:t xml:space="preserve">06B</w:t>
                  </w:r>
                </w:p>
              </w:tc>
              <w:tc>
                <w:tcPr/>
                <w:p>
                  <w:pPr>
                    <w:pStyle w:val="Compact"/>
                    <w:jc w:val="center"/>
                  </w:pPr>
                  <w:r>
                    <w:t xml:space="preserve">10812</w:t>
                  </w:r>
                </w:p>
              </w:tc>
              <w:tc>
                <w:tcPr/>
                <w:p>
                  <w:pPr>
                    <w:pStyle w:val="Compact"/>
                    <w:jc w:val="center"/>
                  </w:pPr>
                  <w:r>
                    <w:t xml:space="preserve">18</w:t>
                  </w:r>
                </w:p>
              </w:tc>
            </w:tr>
            <w:tr>
              <w:tc>
                <w:tcPr/>
                <w:p>
                  <w:pPr>
                    <w:pStyle w:val="Compact"/>
                  </w:pPr>
                </w:p>
              </w:tc>
              <w:tc>
                <w:tcPr/>
                <w:p>
                  <w:pPr>
                    <w:pStyle w:val="Compact"/>
                    <w:jc w:val="center"/>
                  </w:pPr>
                  <w:r>
                    <w:t xml:space="preserve">11682</w:t>
                  </w:r>
                </w:p>
              </w:tc>
              <w:tc>
                <w:tcPr/>
                <w:p>
                  <w:pPr>
                    <w:pStyle w:val="Compact"/>
                    <w:jc w:val="center"/>
                  </w:pPr>
                  <w:r>
                    <w:t xml:space="preserve">18</w:t>
                  </w:r>
                </w:p>
              </w:tc>
            </w:tr>
            <w:tr>
              <w:tc>
                <w:tcPr/>
                <w:p>
                  <w:pPr>
                    <w:pStyle w:val="Compact"/>
                    <w:jc w:val="center"/>
                  </w:pPr>
                  <w:r>
                    <w:t xml:space="preserve">16B</w:t>
                  </w:r>
                </w:p>
              </w:tc>
              <w:tc>
                <w:tcPr/>
                <w:p>
                  <w:pPr>
                    <w:pStyle w:val="Compact"/>
                    <w:jc w:val="center"/>
                  </w:pPr>
                  <w:r>
                    <w:t xml:space="preserve">14424</w:t>
                  </w:r>
                </w:p>
              </w:tc>
              <w:tc>
                <w:tcPr/>
                <w:p>
                  <w:pPr>
                    <w:pStyle w:val="Compact"/>
                    <w:jc w:val="center"/>
                  </w:pPr>
                  <w:r>
                    <w:t xml:space="preserve">59</w:t>
                  </w:r>
                </w:p>
              </w:tc>
            </w:tr>
            <w:tr>
              <w:tc>
                <w:tcPr/>
                <w:p>
                  <w:pPr>
                    <w:pStyle w:val="Compact"/>
                    <w:jc w:val="center"/>
                  </w:pPr>
                  <w:r>
                    <w:t xml:space="preserve">(blank)</w:t>
                  </w:r>
                </w:p>
              </w:tc>
              <w:tc>
                <w:tcPr/>
                <w:p>
                  <w:pPr>
                    <w:pStyle w:val="Compact"/>
                    <w:jc w:val="center"/>
                  </w:pPr>
                  <w:r>
                    <w:t xml:space="preserve">10000</w:t>
                  </w:r>
                </w:p>
              </w:tc>
              <w:tc>
                <w:tcPr/>
                <w:p>
                  <w:pPr>
                    <w:pStyle w:val="Compact"/>
                    <w:jc w:val="center"/>
                  </w:pPr>
                  <w:r>
                    <w:t xml:space="preserve">146</w:t>
                  </w:r>
                </w:p>
              </w:tc>
            </w:tr>
            <w:tr>
              <w:tc>
                <w:tcPr/>
                <w:p>
                  <w:pPr>
                    <w:pStyle w:val="Compact"/>
                  </w:pPr>
                </w:p>
              </w:tc>
              <w:tc>
                <w:tcPr/>
                <w:p>
                  <w:pPr>
                    <w:pStyle w:val="Compact"/>
                    <w:jc w:val="center"/>
                  </w:pPr>
                  <w:r>
                    <w:t xml:space="preserve">10634</w:t>
                  </w:r>
                </w:p>
              </w:tc>
              <w:tc>
                <w:tcPr/>
                <w:p>
                  <w:pPr>
                    <w:pStyle w:val="Compact"/>
                    <w:jc w:val="center"/>
                  </w:pPr>
                  <w:r>
                    <w:t xml:space="preserve">13</w:t>
                  </w:r>
                </w:p>
              </w:tc>
            </w:tr>
            <w:tr>
              <w:tc>
                <w:tcPr/>
                <w:p>
                  <w:pPr>
                    <w:pStyle w:val="Compact"/>
                  </w:pPr>
                </w:p>
              </w:tc>
              <w:tc>
                <w:tcPr/>
                <w:p>
                  <w:pPr>
                    <w:pStyle w:val="Compact"/>
                    <w:jc w:val="center"/>
                  </w:pPr>
                  <w:r>
                    <w:t xml:space="preserve">24797</w:t>
                  </w:r>
                </w:p>
              </w:tc>
              <w:tc>
                <w:tcPr/>
                <w:p>
                  <w:pPr>
                    <w:pStyle w:val="Compact"/>
                    <w:jc w:val="center"/>
                  </w:pPr>
                  <w:r>
                    <w:t xml:space="preserve">10</w:t>
                  </w:r>
                </w:p>
              </w:tc>
            </w:tr>
            <w:tr>
              <w:tc>
                <w:tcPr/>
                <w:p>
                  <w:pPr>
                    <w:pStyle w:val="Compact"/>
                  </w:pPr>
                </w:p>
              </w:tc>
              <w:tc>
                <w:tcPr/>
                <w:p>
                  <w:pPr>
                    <w:pStyle w:val="Compact"/>
                    <w:jc w:val="center"/>
                  </w:pPr>
                  <w:r>
                    <w:t xml:space="preserve">225692</w:t>
                  </w:r>
                </w:p>
              </w:tc>
              <w:tc>
                <w:tcPr/>
                <w:p>
                  <w:pPr>
                    <w:pStyle w:val="Compact"/>
                    <w:jc w:val="center"/>
                  </w:pPr>
                  <w:r>
                    <w:t xml:space="preserve">12</w:t>
                  </w:r>
                </w:p>
              </w:tc>
            </w:tr>
            <w:tr>
              <w:tc>
                <w:tcPr/>
                <w:p>
                  <w:pPr>
                    <w:pStyle w:val="Compact"/>
                    <w:jc w:val="center"/>
                  </w:pPr>
                  <w:r>
                    <w:t xml:space="preserve">13B</w:t>
                  </w:r>
                </w:p>
              </w:tc>
              <w:tc>
                <w:tcPr/>
                <w:p>
                  <w:pPr>
                    <w:pStyle w:val="Compact"/>
                    <w:jc w:val="center"/>
                  </w:pPr>
                  <w:r>
                    <w:t xml:space="preserve">11111</w:t>
                  </w:r>
                </w:p>
              </w:tc>
              <w:tc>
                <w:tcPr/>
                <w:p>
                  <w:pPr>
                    <w:pStyle w:val="Compact"/>
                    <w:jc w:val="center"/>
                  </w:pPr>
                  <w:r>
                    <w:t xml:space="preserve">161</w:t>
                  </w:r>
                </w:p>
              </w:tc>
            </w:tr>
            <w:tr>
              <w:tc>
                <w:tcPr/>
                <w:p>
                  <w:pPr>
                    <w:pStyle w:val="Compact"/>
                  </w:pPr>
                </w:p>
              </w:tc>
              <w:tc>
                <w:tcPr/>
                <w:p>
                  <w:pPr>
                    <w:pStyle w:val="Compact"/>
                    <w:jc w:val="center"/>
                  </w:pPr>
                  <w:r>
                    <w:t xml:space="preserve">35435</w:t>
                  </w:r>
                </w:p>
              </w:tc>
              <w:tc>
                <w:tcPr/>
                <w:p>
                  <w:pPr>
                    <w:pStyle w:val="Compact"/>
                    <w:jc w:val="center"/>
                  </w:pPr>
                  <w:r>
                    <w:t xml:space="preserve">17</w:t>
                  </w:r>
                </w:p>
              </w:tc>
            </w:tr>
            <w:tr>
              <w:tc>
                <w:tcPr/>
                <w:p>
                  <w:pPr>
                    <w:pStyle w:val="Compact"/>
                  </w:pPr>
                </w:p>
              </w:tc>
              <w:tc>
                <w:tcPr/>
                <w:p>
                  <w:pPr>
                    <w:pStyle w:val="Compact"/>
                    <w:jc w:val="center"/>
                  </w:pPr>
                  <w:r>
                    <w:t xml:space="preserve">156615</w:t>
                  </w:r>
                </w:p>
              </w:tc>
              <w:tc>
                <w:tcPr/>
                <w:p>
                  <w:pPr>
                    <w:pStyle w:val="Compact"/>
                    <w:jc w:val="center"/>
                  </w:pPr>
                  <w:r>
                    <w:t xml:space="preserve">10</w:t>
                  </w:r>
                </w:p>
              </w:tc>
            </w:tr>
            <w:tr>
              <w:tc>
                <w:tcPr/>
                <w:p>
                  <w:pPr>
                    <w:pStyle w:val="Compact"/>
                    <w:jc w:val="center"/>
                  </w:pPr>
                  <w:r>
                    <w:t xml:space="preserve">07B</w:t>
                  </w:r>
                </w:p>
              </w:tc>
              <w:tc>
                <w:tcPr/>
                <w:p>
                  <w:pPr>
                    <w:pStyle w:val="Compact"/>
                    <w:jc w:val="center"/>
                  </w:pPr>
                  <w:r>
                    <w:t xml:space="preserve">14155</w:t>
                  </w:r>
                </w:p>
              </w:tc>
              <w:tc>
                <w:tcPr/>
                <w:p>
                  <w:pPr>
                    <w:pStyle w:val="Compact"/>
                    <w:jc w:val="center"/>
                  </w:pPr>
                  <w:r>
                    <w:t xml:space="preserve">59</w:t>
                  </w:r>
                </w:p>
              </w:tc>
            </w:tr>
            <w:tr>
              <w:tc>
                <w:tcPr/>
                <w:p>
                  <w:pPr>
                    <w:pStyle w:val="Compact"/>
                  </w:pPr>
                </w:p>
              </w:tc>
              <w:tc>
                <w:tcPr/>
                <w:p>
                  <w:pPr>
                    <w:pStyle w:val="Compact"/>
                    <w:jc w:val="center"/>
                  </w:pPr>
                  <w:r>
                    <w:t xml:space="preserve">16174</w:t>
                  </w:r>
                </w:p>
              </w:tc>
              <w:tc>
                <w:tcPr/>
                <w:p>
                  <w:pPr>
                    <w:pStyle w:val="Compact"/>
                    <w:jc w:val="center"/>
                  </w:pPr>
                  <w:r>
                    <w:t xml:space="preserve">34</w:t>
                  </w:r>
                </w:p>
              </w:tc>
            </w:tr>
            <w:tr>
              <w:tc>
                <w:tcPr/>
                <w:p>
                  <w:pPr>
                    <w:pStyle w:val="Compact"/>
                  </w:pPr>
                </w:p>
              </w:tc>
              <w:tc>
                <w:tcPr/>
                <w:p>
                  <w:pPr>
                    <w:pStyle w:val="Compact"/>
                    <w:jc w:val="center"/>
                  </w:pPr>
                  <w:r>
                    <w:t xml:space="preserve">16544</w:t>
                  </w:r>
                </w:p>
              </w:tc>
              <w:tc>
                <w:tcPr/>
                <w:p>
                  <w:pPr>
                    <w:pStyle w:val="Compact"/>
                    <w:jc w:val="center"/>
                  </w:pPr>
                  <w:r>
                    <w:t xml:space="preserve">45</w:t>
                  </w:r>
                </w:p>
              </w:tc>
            </w:tr>
            <w:tr>
              <w:tc>
                <w:tcPr/>
                <w:p>
                  <w:pPr>
                    <w:pStyle w:val="Compact"/>
                  </w:pPr>
                </w:p>
              </w:tc>
              <w:tc>
                <w:tcPr/>
                <w:p>
                  <w:pPr>
                    <w:pStyle w:val="Compact"/>
                    <w:jc w:val="center"/>
                  </w:pPr>
                  <w:r>
                    <w:t xml:space="preserve">18516</w:t>
                  </w:r>
                </w:p>
              </w:tc>
              <w:tc>
                <w:tcPr/>
                <w:p>
                  <w:pPr>
                    <w:pStyle w:val="Compact"/>
                    <w:jc w:val="center"/>
                  </w:pPr>
                  <w:r>
                    <w:t xml:space="preserve">23</w:t>
                  </w:r>
                </w:p>
              </w:tc>
            </w:tr>
            <w:tr>
              <w:tc>
                <w:tcPr/>
                <w:p>
                  <w:pPr>
                    <w:pStyle w:val="Compact"/>
                  </w:pPr>
                </w:p>
              </w:tc>
              <w:tc>
                <w:tcPr/>
                <w:p>
                  <w:pPr>
                    <w:pStyle w:val="Compact"/>
                    <w:jc w:val="center"/>
                  </w:pPr>
                  <w:r>
                    <w:t xml:space="preserve">20588</w:t>
                  </w:r>
                </w:p>
              </w:tc>
              <w:tc>
                <w:tcPr/>
                <w:p>
                  <w:pPr>
                    <w:pStyle w:val="Compact"/>
                    <w:jc w:val="center"/>
                  </w:pPr>
                  <w:r>
                    <w:t xml:space="preserve">47</w:t>
                  </w:r>
                </w:p>
              </w:tc>
            </w:tr>
            <w:tr>
              <w:tc>
                <w:tcPr/>
                <w:p>
                  <w:pPr>
                    <w:pStyle w:val="Compact"/>
                  </w:pPr>
                </w:p>
              </w:tc>
              <w:tc>
                <w:tcPr/>
                <w:p>
                  <w:pPr>
                    <w:pStyle w:val="Compact"/>
                    <w:jc w:val="center"/>
                  </w:pPr>
                  <w:r>
                    <w:t xml:space="preserve">101550</w:t>
                  </w:r>
                </w:p>
              </w:tc>
              <w:tc>
                <w:tcPr/>
                <w:p>
                  <w:pPr>
                    <w:pStyle w:val="Compact"/>
                    <w:jc w:val="center"/>
                  </w:pPr>
                  <w:r>
                    <w:t xml:space="preserve">40</w:t>
                  </w:r>
                </w:p>
              </w:tc>
            </w:tr>
            <w:tr>
              <w:tc>
                <w:tcPr/>
                <w:p>
                  <w:pPr>
                    <w:pStyle w:val="Compact"/>
                    <w:jc w:val="center"/>
                  </w:pPr>
                  <w:r>
                    <w:t xml:space="preserve">20A.22A</w:t>
                  </w:r>
                </w:p>
              </w:tc>
              <w:tc>
                <w:tcPr/>
                <w:p>
                  <w:pPr>
                    <w:pStyle w:val="Compact"/>
                    <w:jc w:val="center"/>
                  </w:pPr>
                  <w:r>
                    <w:t xml:space="preserve">11530</w:t>
                  </w:r>
                </w:p>
              </w:tc>
              <w:tc>
                <w:tcPr/>
                <w:p>
                  <w:pPr>
                    <w:pStyle w:val="Compact"/>
                    <w:jc w:val="center"/>
                  </w:pPr>
                  <w:r>
                    <w:t xml:space="preserve">86</w:t>
                  </w:r>
                </w:p>
              </w:tc>
            </w:tr>
            <w:tr>
              <w:tc>
                <w:tcPr/>
                <w:p>
                  <w:pPr>
                    <w:pStyle w:val="Compact"/>
                  </w:pPr>
                </w:p>
              </w:tc>
              <w:tc>
                <w:tcPr/>
                <w:p>
                  <w:pPr>
                    <w:pStyle w:val="Compact"/>
                    <w:jc w:val="center"/>
                  </w:pPr>
                  <w:r>
                    <w:t xml:space="preserve">11877</w:t>
                  </w:r>
                </w:p>
              </w:tc>
              <w:tc>
                <w:tcPr/>
                <w:p>
                  <w:pPr>
                    <w:pStyle w:val="Compact"/>
                    <w:jc w:val="center"/>
                  </w:pPr>
                  <w:r>
                    <w:t xml:space="preserve">102</w:t>
                  </w:r>
                </w:p>
              </w:tc>
            </w:tr>
            <w:tr>
              <w:tc>
                <w:tcPr/>
                <w:p>
                  <w:pPr>
                    <w:pStyle w:val="Compact"/>
                  </w:pPr>
                </w:p>
              </w:tc>
              <w:tc>
                <w:tcPr/>
                <w:p>
                  <w:pPr>
                    <w:pStyle w:val="Compact"/>
                    <w:jc w:val="center"/>
                  </w:pPr>
                  <w:r>
                    <w:t xml:space="preserve">13081</w:t>
                  </w:r>
                </w:p>
              </w:tc>
              <w:tc>
                <w:tcPr/>
                <w:p>
                  <w:pPr>
                    <w:pStyle w:val="Compact"/>
                    <w:jc w:val="center"/>
                  </w:pPr>
                  <w:r>
                    <w:t xml:space="preserve">58</w:t>
                  </w:r>
                </w:p>
              </w:tc>
            </w:tr>
            <w:tr>
              <w:tc>
                <w:tcPr/>
                <w:p>
                  <w:pPr>
                    <w:pStyle w:val="Compact"/>
                  </w:pPr>
                </w:p>
              </w:tc>
              <w:tc>
                <w:tcPr/>
                <w:p>
                  <w:pPr>
                    <w:pStyle w:val="Compact"/>
                    <w:jc w:val="center"/>
                  </w:pPr>
                  <w:r>
                    <w:t xml:space="preserve">16156</w:t>
                  </w:r>
                </w:p>
              </w:tc>
              <w:tc>
                <w:tcPr/>
                <w:p>
                  <w:pPr>
                    <w:pStyle w:val="Compact"/>
                    <w:jc w:val="center"/>
                  </w:pPr>
                  <w:r>
                    <w:t xml:space="preserve">10</w:t>
                  </w:r>
                </w:p>
              </w:tc>
            </w:tr>
            <w:tr>
              <w:tc>
                <w:tcPr/>
                <w:p>
                  <w:pPr>
                    <w:pStyle w:val="Compact"/>
                    <w:jc w:val="center"/>
                  </w:pPr>
                  <w:r>
                    <w:t xml:space="preserve">04B</w:t>
                  </w:r>
                </w:p>
              </w:tc>
              <w:tc>
                <w:tcPr/>
                <w:p>
                  <w:pPr>
                    <w:pStyle w:val="Compact"/>
                    <w:jc w:val="center"/>
                  </w:pPr>
                  <w:r>
                    <w:t xml:space="preserve">15036</w:t>
                  </w:r>
                </w:p>
              </w:tc>
              <w:tc>
                <w:tcPr/>
                <w:p>
                  <w:pPr>
                    <w:pStyle w:val="Compact"/>
                    <w:jc w:val="center"/>
                  </w:pPr>
                  <w:r>
                    <w:t xml:space="preserve">58</w:t>
                  </w:r>
                </w:p>
              </w:tc>
            </w:tr>
            <w:tr>
              <w:tc>
                <w:tcPr/>
                <w:p>
                  <w:pPr>
                    <w:pStyle w:val="Compact"/>
                  </w:pPr>
                </w:p>
              </w:tc>
              <w:tc>
                <w:tcPr/>
                <w:p>
                  <w:pPr>
                    <w:pStyle w:val="Compact"/>
                    <w:jc w:val="center"/>
                  </w:pPr>
                  <w:r>
                    <w:t xml:space="preserve">16171</w:t>
                  </w:r>
                </w:p>
              </w:tc>
              <w:tc>
                <w:tcPr/>
                <w:p>
                  <w:pPr>
                    <w:pStyle w:val="Compact"/>
                    <w:jc w:val="center"/>
                  </w:pPr>
                  <w:r>
                    <w:t xml:space="preserve">13</w:t>
                  </w:r>
                </w:p>
              </w:tc>
            </w:tr>
            <w:tr>
              <w:tc>
                <w:tcPr/>
                <w:p>
                  <w:pPr>
                    <w:pStyle w:val="Compact"/>
                  </w:pPr>
                </w:p>
              </w:tc>
              <w:tc>
                <w:tcPr/>
                <w:p>
                  <w:pPr>
                    <w:pStyle w:val="Compact"/>
                    <w:jc w:val="center"/>
                  </w:pPr>
                  <w:r>
                    <w:t xml:space="preserve">16530</w:t>
                  </w:r>
                </w:p>
              </w:tc>
              <w:tc>
                <w:tcPr/>
                <w:p>
                  <w:pPr>
                    <w:pStyle w:val="Compact"/>
                    <w:jc w:val="center"/>
                  </w:pPr>
                  <w:r>
                    <w:t xml:space="preserve">23</w:t>
                  </w:r>
                </w:p>
              </w:tc>
            </w:tr>
            <w:tr>
              <w:tc>
                <w:tcPr/>
                <w:p>
                  <w:pPr>
                    <w:pStyle w:val="Compact"/>
                  </w:pPr>
                </w:p>
              </w:tc>
              <w:tc>
                <w:tcPr/>
                <w:p>
                  <w:pPr>
                    <w:pStyle w:val="Compact"/>
                    <w:jc w:val="center"/>
                  </w:pPr>
                  <w:r>
                    <w:t xml:space="preserve">16640</w:t>
                  </w:r>
                </w:p>
              </w:tc>
              <w:tc>
                <w:tcPr/>
                <w:p>
                  <w:pPr>
                    <w:pStyle w:val="Compact"/>
                    <w:jc w:val="center"/>
                  </w:pPr>
                  <w:r>
                    <w:t xml:space="preserve">31</w:t>
                  </w:r>
                </w:p>
              </w:tc>
            </w:tr>
            <w:tr>
              <w:tc>
                <w:tcPr/>
                <w:p>
                  <w:pPr>
                    <w:pStyle w:val="Compact"/>
                  </w:pPr>
                </w:p>
              </w:tc>
              <w:tc>
                <w:tcPr/>
                <w:p>
                  <w:pPr>
                    <w:pStyle w:val="Compact"/>
                    <w:jc w:val="center"/>
                  </w:pPr>
                  <w:r>
                    <w:t xml:space="preserve">16772</w:t>
                  </w:r>
                </w:p>
              </w:tc>
              <w:tc>
                <w:tcPr/>
                <w:p>
                  <w:pPr>
                    <w:pStyle w:val="Compact"/>
                    <w:jc w:val="center"/>
                  </w:pPr>
                  <w:r>
                    <w:t xml:space="preserve">26</w:t>
                  </w:r>
                </w:p>
              </w:tc>
            </w:tr>
            <w:tr>
              <w:tc>
                <w:tcPr/>
                <w:p>
                  <w:pPr>
                    <w:pStyle w:val="Compact"/>
                  </w:pPr>
                </w:p>
              </w:tc>
              <w:tc>
                <w:tcPr/>
                <w:p>
                  <w:pPr>
                    <w:pStyle w:val="Compact"/>
                    <w:jc w:val="center"/>
                  </w:pPr>
                  <w:r>
                    <w:t xml:space="preserve">19473</w:t>
                  </w:r>
                </w:p>
              </w:tc>
              <w:tc>
                <w:tcPr/>
                <w:p>
                  <w:pPr>
                    <w:pStyle w:val="Compact"/>
                    <w:jc w:val="center"/>
                  </w:pPr>
                  <w:r>
                    <w:t xml:space="preserve">35</w:t>
                  </w:r>
                </w:p>
              </w:tc>
            </w:tr>
            <w:tr>
              <w:tc>
                <w:tcPr/>
                <w:p>
                  <w:pPr>
                    <w:pStyle w:val="Compact"/>
                  </w:pPr>
                </w:p>
              </w:tc>
              <w:tc>
                <w:tcPr/>
                <w:p>
                  <w:pPr>
                    <w:pStyle w:val="Compact"/>
                    <w:jc w:val="center"/>
                  </w:pPr>
                  <w:r>
                    <w:t xml:space="preserve">21464</w:t>
                  </w:r>
                </w:p>
              </w:tc>
              <w:tc>
                <w:tcPr/>
                <w:p>
                  <w:pPr>
                    <w:pStyle w:val="Compact"/>
                    <w:jc w:val="center"/>
                  </w:pPr>
                  <w:r>
                    <w:t xml:space="preserve">14</w:t>
                  </w:r>
                </w:p>
              </w:tc>
            </w:tr>
            <w:tr>
              <w:tc>
                <w:tcPr/>
                <w:p>
                  <w:pPr>
                    <w:pStyle w:val="Compact"/>
                  </w:pPr>
                </w:p>
              </w:tc>
              <w:tc>
                <w:tcPr/>
                <w:p>
                  <w:pPr>
                    <w:pStyle w:val="Compact"/>
                    <w:jc w:val="center"/>
                  </w:pPr>
                  <w:r>
                    <w:t xml:space="preserve">22299</w:t>
                  </w:r>
                </w:p>
              </w:tc>
              <w:tc>
                <w:tcPr/>
                <w:p>
                  <w:pPr>
                    <w:pStyle w:val="Compact"/>
                    <w:jc w:val="center"/>
                  </w:pPr>
                  <w:r>
                    <w:t xml:space="preserve">21</w:t>
                  </w:r>
                </w:p>
              </w:tc>
            </w:tr>
            <w:tr>
              <w:tc>
                <w:tcPr/>
                <w:p>
                  <w:pPr>
                    <w:pStyle w:val="Compact"/>
                  </w:pPr>
                </w:p>
              </w:tc>
              <w:tc>
                <w:tcPr/>
                <w:p>
                  <w:pPr>
                    <w:pStyle w:val="Compact"/>
                    <w:jc w:val="center"/>
                  </w:pPr>
                  <w:r>
                    <w:t xml:space="preserve">101891</w:t>
                  </w:r>
                </w:p>
              </w:tc>
              <w:tc>
                <w:tcPr/>
                <w:p>
                  <w:pPr>
                    <w:pStyle w:val="Compact"/>
                    <w:jc w:val="center"/>
                  </w:pPr>
                  <w:r>
                    <w:t xml:space="preserve">37</w:t>
                  </w:r>
                </w:p>
              </w:tc>
            </w:tr>
            <w:tr>
              <w:tc>
                <w:tcPr/>
                <w:p>
                  <w:pPr>
                    <w:pStyle w:val="Compact"/>
                    <w:jc w:val="center"/>
                  </w:pPr>
                  <w:r>
                    <w:t xml:space="preserve">18B</w:t>
                  </w:r>
                </w:p>
              </w:tc>
              <w:tc>
                <w:tcPr/>
                <w:p>
                  <w:pPr>
                    <w:pStyle w:val="Compact"/>
                    <w:jc w:val="center"/>
                  </w:pPr>
                  <w:r>
                    <w:t xml:space="preserve">13645</w:t>
                  </w:r>
                </w:p>
              </w:tc>
              <w:tc>
                <w:tcPr/>
                <w:p>
                  <w:pPr>
                    <w:pStyle w:val="Compact"/>
                    <w:jc w:val="center"/>
                  </w:pPr>
                  <w:r>
                    <w:t xml:space="preserve">26</w:t>
                  </w:r>
                </w:p>
              </w:tc>
            </w:tr>
            <w:tr>
              <w:tc>
                <w:tcPr/>
                <w:p>
                  <w:pPr>
                    <w:pStyle w:val="Compact"/>
                  </w:pPr>
                </w:p>
              </w:tc>
              <w:tc>
                <w:tcPr/>
                <w:p>
                  <w:pPr>
                    <w:pStyle w:val="Compact"/>
                    <w:jc w:val="center"/>
                  </w:pPr>
                  <w:r>
                    <w:t xml:space="preserve">13846</w:t>
                  </w:r>
                </w:p>
              </w:tc>
              <w:tc>
                <w:tcPr/>
                <w:p>
                  <w:pPr>
                    <w:pStyle w:val="Compact"/>
                    <w:jc w:val="center"/>
                  </w:pPr>
                  <w:r>
                    <w:t xml:space="preserve">156</w:t>
                  </w:r>
                </w:p>
              </w:tc>
            </w:tr>
            <w:tr>
              <w:tc>
                <w:tcPr/>
                <w:p>
                  <w:pPr>
                    <w:pStyle w:val="Compact"/>
                  </w:pPr>
                </w:p>
              </w:tc>
              <w:tc>
                <w:tcPr/>
                <w:p>
                  <w:pPr>
                    <w:pStyle w:val="Compact"/>
                    <w:jc w:val="center"/>
                  </w:pPr>
                  <w:r>
                    <w:t xml:space="preserve">14882</w:t>
                  </w:r>
                </w:p>
              </w:tc>
              <w:tc>
                <w:tcPr/>
                <w:p>
                  <w:pPr>
                    <w:pStyle w:val="Compact"/>
                    <w:jc w:val="center"/>
                  </w:pPr>
                  <w:r>
                    <w:t xml:space="preserve">22</w:t>
                  </w:r>
                </w:p>
              </w:tc>
            </w:tr>
            <w:tr>
              <w:tc>
                <w:tcPr/>
                <w:p>
                  <w:pPr>
                    <w:pStyle w:val="Compact"/>
                  </w:pPr>
                </w:p>
              </w:tc>
              <w:tc>
                <w:tcPr/>
                <w:p>
                  <w:pPr>
                    <w:pStyle w:val="Compact"/>
                    <w:jc w:val="center"/>
                  </w:pPr>
                  <w:r>
                    <w:t xml:space="preserve">17245</w:t>
                  </w:r>
                </w:p>
              </w:tc>
              <w:tc>
                <w:tcPr/>
                <w:p>
                  <w:pPr>
                    <w:pStyle w:val="Compact"/>
                    <w:jc w:val="center"/>
                  </w:pPr>
                  <w:r>
                    <w:t xml:space="preserve">21</w:t>
                  </w:r>
                </w:p>
              </w:tc>
            </w:tr>
            <w:tr>
              <w:tc>
                <w:tcPr/>
                <w:p>
                  <w:pPr>
                    <w:pStyle w:val="Compact"/>
                  </w:pPr>
                </w:p>
              </w:tc>
              <w:tc>
                <w:tcPr/>
                <w:p>
                  <w:pPr>
                    <w:pStyle w:val="Compact"/>
                    <w:jc w:val="center"/>
                  </w:pPr>
                  <w:r>
                    <w:t xml:space="preserve">17824</w:t>
                  </w:r>
                </w:p>
              </w:tc>
              <w:tc>
                <w:tcPr/>
                <w:p>
                  <w:pPr>
                    <w:pStyle w:val="Compact"/>
                    <w:jc w:val="center"/>
                  </w:pPr>
                  <w:r>
                    <w:t xml:space="preserve">10</w:t>
                  </w:r>
                </w:p>
              </w:tc>
            </w:tr>
            <w:tr>
              <w:tc>
                <w:tcPr/>
                <w:p>
                  <w:pPr>
                    <w:pStyle w:val="Compact"/>
                  </w:pPr>
                </w:p>
              </w:tc>
              <w:tc>
                <w:tcPr/>
                <w:p>
                  <w:pPr>
                    <w:pStyle w:val="Compact"/>
                    <w:jc w:val="center"/>
                  </w:pPr>
                  <w:r>
                    <w:t xml:space="preserve">18131</w:t>
                  </w:r>
                </w:p>
              </w:tc>
              <w:tc>
                <w:tcPr/>
                <w:p>
                  <w:pPr>
                    <w:pStyle w:val="Compact"/>
                    <w:jc w:val="center"/>
                  </w:pPr>
                  <w:r>
                    <w:t xml:space="preserve">14</w:t>
                  </w:r>
                </w:p>
              </w:tc>
            </w:tr>
            <w:tr>
              <w:tc>
                <w:tcPr/>
                <w:p>
                  <w:pPr>
                    <w:pStyle w:val="Compact"/>
                  </w:pPr>
                </w:p>
              </w:tc>
              <w:tc>
                <w:tcPr/>
                <w:p>
                  <w:pPr>
                    <w:pStyle w:val="Compact"/>
                    <w:jc w:val="center"/>
                  </w:pPr>
                  <w:r>
                    <w:t xml:space="preserve">21171</w:t>
                  </w:r>
                </w:p>
              </w:tc>
              <w:tc>
                <w:tcPr/>
                <w:p>
                  <w:pPr>
                    <w:pStyle w:val="Compact"/>
                    <w:jc w:val="center"/>
                  </w:pPr>
                  <w:r>
                    <w:t xml:space="preserve">22</w:t>
                  </w:r>
                </w:p>
              </w:tc>
            </w:tr>
            <w:tr>
              <w:tc>
                <w:tcPr/>
                <w:p>
                  <w:pPr>
                    <w:pStyle w:val="Compact"/>
                    <w:jc w:val="center"/>
                  </w:pPr>
                  <w:r>
                    <w:t xml:space="preserve">21A</w:t>
                  </w:r>
                </w:p>
              </w:tc>
              <w:tc>
                <w:tcPr/>
                <w:p>
                  <w:pPr>
                    <w:pStyle w:val="Compact"/>
                    <w:jc w:val="center"/>
                  </w:pPr>
                  <w:r>
                    <w:t xml:space="preserve">15336</w:t>
                  </w:r>
                </w:p>
              </w:tc>
              <w:tc>
                <w:tcPr/>
                <w:p>
                  <w:pPr>
                    <w:pStyle w:val="Compact"/>
                    <w:jc w:val="center"/>
                  </w:pPr>
                  <w:r>
                    <w:t xml:space="preserve">75</w:t>
                  </w:r>
                </w:p>
              </w:tc>
            </w:tr>
            <w:tr>
              <w:tc>
                <w:tcPr/>
                <w:p>
                  <w:pPr>
                    <w:pStyle w:val="Compact"/>
                  </w:pPr>
                </w:p>
              </w:tc>
              <w:tc>
                <w:tcPr/>
                <w:p>
                  <w:pPr>
                    <w:pStyle w:val="Compact"/>
                    <w:jc w:val="center"/>
                  </w:pPr>
                  <w:r>
                    <w:t xml:space="preserve">16186</w:t>
                  </w:r>
                </w:p>
              </w:tc>
              <w:tc>
                <w:tcPr/>
                <w:p>
                  <w:pPr>
                    <w:pStyle w:val="Compact"/>
                    <w:jc w:val="center"/>
                  </w:pPr>
                  <w:r>
                    <w:t xml:space="preserve">97</w:t>
                  </w:r>
                </w:p>
              </w:tc>
            </w:tr>
            <w:tr>
              <w:tc>
                <w:tcPr/>
                <w:p>
                  <w:pPr>
                    <w:pStyle w:val="Compact"/>
                  </w:pPr>
                </w:p>
              </w:tc>
              <w:tc>
                <w:tcPr/>
                <w:p>
                  <w:pPr>
                    <w:pStyle w:val="Compact"/>
                    <w:jc w:val="center"/>
                  </w:pPr>
                  <w:r>
                    <w:t xml:space="preserve">16427</w:t>
                  </w:r>
                </w:p>
              </w:tc>
              <w:tc>
                <w:tcPr/>
                <w:p>
                  <w:pPr>
                    <w:pStyle w:val="Compact"/>
                    <w:jc w:val="center"/>
                  </w:pPr>
                  <w:r>
                    <w:t xml:space="preserve">12</w:t>
                  </w:r>
                </w:p>
              </w:tc>
            </w:tr>
            <w:tr>
              <w:tc>
                <w:tcPr/>
                <w:p>
                  <w:pPr>
                    <w:pStyle w:val="Compact"/>
                  </w:pPr>
                </w:p>
              </w:tc>
              <w:tc>
                <w:tcPr/>
                <w:p>
                  <w:pPr>
                    <w:pStyle w:val="Compact"/>
                    <w:jc w:val="center"/>
                  </w:pPr>
                  <w:r>
                    <w:t xml:space="preserve">17013</w:t>
                  </w:r>
                </w:p>
              </w:tc>
              <w:tc>
                <w:tcPr/>
                <w:p>
                  <w:pPr>
                    <w:pStyle w:val="Compact"/>
                    <w:jc w:val="center"/>
                  </w:pPr>
                  <w:r>
                    <w:t xml:space="preserve">139</w:t>
                  </w:r>
                </w:p>
              </w:tc>
            </w:tr>
            <w:tr>
              <w:tc>
                <w:tcPr/>
                <w:p>
                  <w:pPr>
                    <w:pStyle w:val="Compact"/>
                  </w:pPr>
                </w:p>
              </w:tc>
              <w:tc>
                <w:tcPr/>
                <w:p>
                  <w:pPr>
                    <w:pStyle w:val="Compact"/>
                    <w:jc w:val="center"/>
                  </w:pPr>
                  <w:r>
                    <w:t xml:space="preserve">17073</w:t>
                  </w:r>
                </w:p>
              </w:tc>
              <w:tc>
                <w:tcPr/>
                <w:p>
                  <w:pPr>
                    <w:pStyle w:val="Compact"/>
                    <w:jc w:val="center"/>
                  </w:pPr>
                  <w:r>
                    <w:t xml:space="preserve">167</w:t>
                  </w:r>
                </w:p>
              </w:tc>
            </w:tr>
            <w:tr>
              <w:tc>
                <w:tcPr/>
                <w:p>
                  <w:pPr>
                    <w:pStyle w:val="Compact"/>
                  </w:pPr>
                </w:p>
              </w:tc>
              <w:tc>
                <w:tcPr/>
                <w:p>
                  <w:pPr>
                    <w:pStyle w:val="Compact"/>
                    <w:jc w:val="center"/>
                  </w:pPr>
                  <w:r>
                    <w:t xml:space="preserve">17558</w:t>
                  </w:r>
                </w:p>
              </w:tc>
              <w:tc>
                <w:tcPr/>
                <w:p>
                  <w:pPr>
                    <w:pStyle w:val="Compact"/>
                    <w:jc w:val="center"/>
                  </w:pPr>
                  <w:r>
                    <w:t xml:space="preserve">30</w:t>
                  </w:r>
                </w:p>
              </w:tc>
            </w:tr>
            <w:tr>
              <w:tc>
                <w:tcPr/>
                <w:p>
                  <w:pPr>
                    <w:pStyle w:val="Compact"/>
                  </w:pPr>
                </w:p>
              </w:tc>
              <w:tc>
                <w:tcPr/>
                <w:p>
                  <w:pPr>
                    <w:pStyle w:val="Compact"/>
                    <w:jc w:val="center"/>
                  </w:pPr>
                  <w:r>
                    <w:t xml:space="preserve">18306</w:t>
                  </w:r>
                </w:p>
              </w:tc>
              <w:tc>
                <w:tcPr/>
                <w:p>
                  <w:pPr>
                    <w:pStyle w:val="Compact"/>
                    <w:jc w:val="center"/>
                  </w:pPr>
                  <w:r>
                    <w:t xml:space="preserve">11</w:t>
                  </w:r>
                </w:p>
              </w:tc>
            </w:tr>
            <w:tr>
              <w:tc>
                <w:tcPr/>
                <w:p>
                  <w:pPr>
                    <w:pStyle w:val="Compact"/>
                  </w:pPr>
                </w:p>
              </w:tc>
              <w:tc>
                <w:tcPr/>
                <w:p>
                  <w:pPr>
                    <w:pStyle w:val="Compact"/>
                    <w:jc w:val="center"/>
                  </w:pPr>
                  <w:r>
                    <w:t xml:space="preserve">20731</w:t>
                  </w:r>
                </w:p>
              </w:tc>
              <w:tc>
                <w:tcPr/>
                <w:p>
                  <w:pPr>
                    <w:pStyle w:val="Compact"/>
                    <w:jc w:val="center"/>
                  </w:pPr>
                  <w:r>
                    <w:t xml:space="preserve">59</w:t>
                  </w:r>
                </w:p>
              </w:tc>
            </w:tr>
            <w:tr>
              <w:tc>
                <w:tcPr/>
                <w:p>
                  <w:pPr>
                    <w:pStyle w:val="Compact"/>
                  </w:pPr>
                </w:p>
              </w:tc>
              <w:tc>
                <w:tcPr/>
                <w:p>
                  <w:pPr>
                    <w:pStyle w:val="Compact"/>
                    <w:jc w:val="center"/>
                  </w:pPr>
                  <w:r>
                    <w:t xml:space="preserve">20905</w:t>
                  </w:r>
                </w:p>
              </w:tc>
              <w:tc>
                <w:tcPr/>
                <w:p>
                  <w:pPr>
                    <w:pStyle w:val="Compact"/>
                    <w:jc w:val="center"/>
                  </w:pPr>
                  <w:r>
                    <w:t xml:space="preserve">64</w:t>
                  </w:r>
                </w:p>
              </w:tc>
            </w:tr>
            <w:tr>
              <w:tc>
                <w:tcPr/>
                <w:p>
                  <w:pPr>
                    <w:pStyle w:val="Compact"/>
                  </w:pPr>
                </w:p>
              </w:tc>
              <w:tc>
                <w:tcPr/>
                <w:p>
                  <w:pPr>
                    <w:pStyle w:val="Compact"/>
                    <w:jc w:val="center"/>
                  </w:pPr>
                  <w:r>
                    <w:t xml:space="preserve">24383</w:t>
                  </w:r>
                </w:p>
              </w:tc>
              <w:tc>
                <w:tcPr/>
                <w:p>
                  <w:pPr>
                    <w:pStyle w:val="Compact"/>
                    <w:jc w:val="center"/>
                  </w:pPr>
                  <w:r>
                    <w:t xml:space="preserve">13</w:t>
                  </w:r>
                </w:p>
              </w:tc>
            </w:tr>
            <w:tr>
              <w:tc>
                <w:tcPr/>
                <w:p>
                  <w:pPr>
                    <w:pStyle w:val="Compact"/>
                  </w:pPr>
                </w:p>
              </w:tc>
              <w:tc>
                <w:tcPr/>
                <w:p>
                  <w:pPr>
                    <w:pStyle w:val="Compact"/>
                    <w:jc w:val="center"/>
                  </w:pPr>
                  <w:r>
                    <w:t xml:space="preserve">27296</w:t>
                  </w:r>
                </w:p>
              </w:tc>
              <w:tc>
                <w:tcPr/>
                <w:p>
                  <w:pPr>
                    <w:pStyle w:val="Compact"/>
                    <w:jc w:val="center"/>
                  </w:pPr>
                  <w:r>
                    <w:t xml:space="preserve">23</w:t>
                  </w:r>
                </w:p>
              </w:tc>
            </w:tr>
            <w:tr>
              <w:tc>
                <w:tcPr/>
                <w:p>
                  <w:pPr>
                    <w:pStyle w:val="Compact"/>
                  </w:pPr>
                </w:p>
              </w:tc>
              <w:tc>
                <w:tcPr/>
                <w:p>
                  <w:pPr>
                    <w:pStyle w:val="Compact"/>
                    <w:jc w:val="center"/>
                  </w:pPr>
                  <w:r>
                    <w:t xml:space="preserve">28678</w:t>
                  </w:r>
                </w:p>
              </w:tc>
              <w:tc>
                <w:tcPr/>
                <w:p>
                  <w:pPr>
                    <w:pStyle w:val="Compact"/>
                    <w:jc w:val="center"/>
                  </w:pPr>
                  <w:r>
                    <w:t xml:space="preserve">11</w:t>
                  </w:r>
                </w:p>
              </w:tc>
            </w:tr>
            <w:tr>
              <w:tc>
                <w:tcPr/>
                <w:p>
                  <w:pPr>
                    <w:pStyle w:val="Compact"/>
                  </w:pPr>
                </w:p>
              </w:tc>
              <w:tc>
                <w:tcPr/>
                <w:p>
                  <w:pPr>
                    <w:pStyle w:val="Compact"/>
                    <w:jc w:val="center"/>
                  </w:pPr>
                  <w:r>
                    <w:t xml:space="preserve">36932</w:t>
                  </w:r>
                </w:p>
              </w:tc>
              <w:tc>
                <w:tcPr/>
                <w:p>
                  <w:pPr>
                    <w:pStyle w:val="Compact"/>
                    <w:jc w:val="center"/>
                  </w:pPr>
                  <w:r>
                    <w:t xml:space="preserve">21</w:t>
                  </w:r>
                </w:p>
              </w:tc>
            </w:tr>
            <w:tr>
              <w:tc>
                <w:tcPr/>
                <w:p>
                  <w:pPr>
                    <w:pStyle w:val="Compact"/>
                  </w:pPr>
                </w:p>
              </w:tc>
              <w:tc>
                <w:tcPr/>
                <w:p>
                  <w:pPr>
                    <w:pStyle w:val="Compact"/>
                    <w:jc w:val="center"/>
                  </w:pPr>
                  <w:r>
                    <w:t xml:space="preserve">101974</w:t>
                  </w:r>
                </w:p>
              </w:tc>
              <w:tc>
                <w:tcPr/>
                <w:p>
                  <w:pPr>
                    <w:pStyle w:val="Compact"/>
                    <w:jc w:val="center"/>
                  </w:pPr>
                  <w:r>
                    <w:t xml:space="preserve">28</w:t>
                  </w:r>
                </w:p>
              </w:tc>
            </w:tr>
            <w:tr>
              <w:tc>
                <w:tcPr/>
                <w:p>
                  <w:pPr>
                    <w:pStyle w:val="Compact"/>
                  </w:pPr>
                </w:p>
              </w:tc>
              <w:tc>
                <w:tcPr/>
                <w:p>
                  <w:pPr>
                    <w:pStyle w:val="Compact"/>
                    <w:jc w:val="center"/>
                  </w:pPr>
                  <w:r>
                    <w:t xml:space="preserve">152381</w:t>
                  </w:r>
                </w:p>
              </w:tc>
              <w:tc>
                <w:tcPr/>
                <w:p>
                  <w:pPr>
                    <w:pStyle w:val="Compact"/>
                    <w:jc w:val="center"/>
                  </w:pPr>
                  <w:r>
                    <w:t xml:space="preserve">95</w:t>
                  </w:r>
                </w:p>
              </w:tc>
            </w:tr>
            <w:tr>
              <w:tc>
                <w:tcPr/>
                <w:p>
                  <w:pPr>
                    <w:pStyle w:val="Compact"/>
                    <w:jc w:val="center"/>
                  </w:pPr>
                  <w:r>
                    <w:t xml:space="preserve">13A</w:t>
                  </w:r>
                </w:p>
              </w:tc>
              <w:tc>
                <w:tcPr/>
                <w:p>
                  <w:pPr>
                    <w:pStyle w:val="Compact"/>
                    <w:jc w:val="center"/>
                  </w:pPr>
                  <w:r>
                    <w:t xml:space="preserve">14366</w:t>
                  </w:r>
                </w:p>
              </w:tc>
              <w:tc>
                <w:tcPr/>
                <w:p>
                  <w:pPr>
                    <w:pStyle w:val="Compact"/>
                    <w:jc w:val="center"/>
                  </w:pPr>
                  <w:r>
                    <w:t xml:space="preserve">256</w:t>
                  </w:r>
                </w:p>
              </w:tc>
            </w:tr>
            <w:tr>
              <w:tc>
                <w:tcPr/>
                <w:p>
                  <w:pPr>
                    <w:pStyle w:val="Compact"/>
                  </w:pPr>
                </w:p>
              </w:tc>
              <w:tc>
                <w:tcPr/>
                <w:p>
                  <w:pPr>
                    <w:pStyle w:val="Compact"/>
                    <w:jc w:val="center"/>
                  </w:pPr>
                  <w:r>
                    <w:t xml:space="preserve">15024</w:t>
                  </w:r>
                </w:p>
              </w:tc>
              <w:tc>
                <w:tcPr/>
                <w:p>
                  <w:pPr>
                    <w:pStyle w:val="Compact"/>
                    <w:jc w:val="center"/>
                  </w:pPr>
                  <w:r>
                    <w:t xml:space="preserve">178</w:t>
                  </w:r>
                </w:p>
              </w:tc>
            </w:tr>
            <w:tr>
              <w:tc>
                <w:tcPr/>
                <w:p>
                  <w:pPr>
                    <w:pStyle w:val="Compact"/>
                  </w:pPr>
                </w:p>
              </w:tc>
              <w:tc>
                <w:tcPr/>
                <w:p>
                  <w:pPr>
                    <w:pStyle w:val="Compact"/>
                    <w:jc w:val="center"/>
                  </w:pPr>
                  <w:r>
                    <w:t xml:space="preserve">16681</w:t>
                  </w:r>
                </w:p>
              </w:tc>
              <w:tc>
                <w:tcPr/>
                <w:p>
                  <w:pPr>
                    <w:pStyle w:val="Compact"/>
                    <w:jc w:val="center"/>
                  </w:pPr>
                  <w:r>
                    <w:t xml:space="preserve">90</w:t>
                  </w:r>
                </w:p>
              </w:tc>
            </w:tr>
            <w:tr>
              <w:tc>
                <w:tcPr/>
                <w:p>
                  <w:pPr>
                    <w:pStyle w:val="Compact"/>
                  </w:pPr>
                </w:p>
              </w:tc>
              <w:tc>
                <w:tcPr/>
                <w:p>
                  <w:pPr>
                    <w:pStyle w:val="Compact"/>
                    <w:jc w:val="center"/>
                  </w:pPr>
                  <w:r>
                    <w:t xml:space="preserve">17350</w:t>
                  </w:r>
                </w:p>
              </w:tc>
              <w:tc>
                <w:tcPr/>
                <w:p>
                  <w:pPr>
                    <w:pStyle w:val="Compact"/>
                    <w:jc w:val="center"/>
                  </w:pPr>
                  <w:r>
                    <w:t xml:space="preserve">183</w:t>
                  </w:r>
                </w:p>
              </w:tc>
            </w:tr>
            <w:tr>
              <w:tc>
                <w:tcPr/>
                <w:p>
                  <w:pPr>
                    <w:pStyle w:val="Compact"/>
                  </w:pPr>
                </w:p>
              </w:tc>
              <w:tc>
                <w:tcPr/>
                <w:p>
                  <w:pPr>
                    <w:pStyle w:val="Compact"/>
                    <w:jc w:val="center"/>
                  </w:pPr>
                  <w:r>
                    <w:t xml:space="preserve">27506</w:t>
                  </w:r>
                </w:p>
              </w:tc>
              <w:tc>
                <w:tcPr/>
                <w:p>
                  <w:pPr>
                    <w:pStyle w:val="Compact"/>
                    <w:jc w:val="center"/>
                  </w:pPr>
                  <w:r>
                    <w:t xml:space="preserve">14</w:t>
                  </w:r>
                </w:p>
              </w:tc>
            </w:tr>
            <w:tr>
              <w:tc>
                <w:tcPr/>
                <w:p>
                  <w:pPr>
                    <w:pStyle w:val="Compact"/>
                  </w:pPr>
                </w:p>
              </w:tc>
              <w:tc>
                <w:tcPr/>
                <w:p>
                  <w:pPr>
                    <w:pStyle w:val="Compact"/>
                    <w:jc w:val="center"/>
                  </w:pPr>
                  <w:r>
                    <w:t xml:space="preserve">33275</w:t>
                  </w:r>
                </w:p>
              </w:tc>
              <w:tc>
                <w:tcPr/>
                <w:p>
                  <w:pPr>
                    <w:pStyle w:val="Compact"/>
                    <w:jc w:val="center"/>
                  </w:pPr>
                  <w:r>
                    <w:t xml:space="preserve">136</w:t>
                  </w:r>
                </w:p>
              </w:tc>
            </w:tr>
            <w:tr>
              <w:tc>
                <w:tcPr/>
                <w:p>
                  <w:pPr>
                    <w:pStyle w:val="Compact"/>
                    <w:jc w:val="center"/>
                  </w:pPr>
                  <w:r>
                    <w:rPr>
                      <w:b/>
                      <w:bCs/>
                    </w:rPr>
                    <w:t xml:space="preserve">Grand Total</w:t>
                  </w:r>
                </w:p>
              </w:tc>
              <w:tc>
                <w:tcPr/>
                <w:p>
                  <w:pPr>
                    <w:pStyle w:val="Compact"/>
                  </w:pPr>
                </w:p>
              </w:tc>
              <w:tc>
                <w:tcPr/>
                <w:p>
                  <w:pPr>
                    <w:pStyle w:val="Compact"/>
                    <w:jc w:val="center"/>
                  </w:pPr>
                  <w:r>
                    <w:t xml:space="preserve">3291</w:t>
                  </w:r>
                </w:p>
              </w:tc>
            </w:tr>
          </w:tbl>
          <w:bookmarkEnd w:id="67"/>
          <w:p/>
        </w:tc>
      </w:tr>
    </w:tbl>
    <w:bookmarkEnd w:id="6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6">
    <w:abstractNumId w:val="991"/>
  </w:num>
  <w:num w:numId="1007">
    <w:abstractNumId w:val="991"/>
  </w:num>
  <w:num w:numId="1008">
    <w:abstractNumId w:val="991"/>
  </w:num>
  <w:num w:numId="1009">
    <w:abstractNumId w:val="991"/>
  </w:num>
  <w:num w:numId="1010">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5" Target="media/rId15.png" /><Relationship Type="http://schemas.openxmlformats.org/officeDocument/2006/relationships/image" Id="rId10" Target="media/rId10.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9" Target="media/rId29.png" /><Relationship Type="http://schemas.openxmlformats.org/officeDocument/2006/relationships/image" Id="rId33" Target="media/rId33.png" /><Relationship Type="http://schemas.openxmlformats.org/officeDocument/2006/relationships/image" Id="rId42" Target="media/rId42.png" /><Relationship Type="http://schemas.openxmlformats.org/officeDocument/2006/relationships/image" Id="rId46" Target="media/rId46.png" /><Relationship Type="http://schemas.openxmlformats.org/officeDocument/2006/relationships/image" Id="rId51" Target="media/rId51.png" /><Relationship Type="http://schemas.openxmlformats.org/officeDocument/2006/relationships/image" Id="rId56" Target="media/rId56.png" /><Relationship Type="http://schemas.openxmlformats.org/officeDocument/2006/relationships/image" Id="rId60" Target="media/rId60.png" /><Relationship Type="http://schemas.openxmlformats.org/officeDocument/2006/relationships/hyperlink" Id="rId19" Target="https://clio-ng.janelia.org/#!gs://flyem-user-links/short/EscapeCircuit.json" TargetMode="External" /><Relationship Type="http://schemas.openxmlformats.org/officeDocument/2006/relationships/hyperlink" Id="rId9" Target="https://clio-ng.janelia.org/#!gs://flyem-user-links/short/GF-hemibrain.json" TargetMode="External" /></Relationships>
</file>

<file path=word/_rels/footnotes.xml.rels><?xml version="1.0" encoding="UTF-8"?><Relationships xmlns="http://schemas.openxmlformats.org/package/2006/relationships"><Relationship Type="http://schemas.openxmlformats.org/officeDocument/2006/relationships/hyperlink" Id="rId19" Target="https://clio-ng.janelia.org/#!gs://flyem-user-links/short/EscapeCircuit.json" TargetMode="External" /><Relationship Type="http://schemas.openxmlformats.org/officeDocument/2006/relationships/hyperlink" Id="rId9" Target="https://clio-ng.janelia.org/#!gs://flyem-user-links/short/GF-hemibrain.jso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Developmental Logic as Circuit Blueprint.</dc:title>
  <dc:creator>Jelly Soffers</dc:creator>
  <cp:keywords/>
  <dcterms:created xsi:type="dcterms:W3CDTF">2026-08-16T00:43:54Z</dcterms:created>
  <dcterms:modified xsi:type="dcterms:W3CDTF">2026-08-16T00:43:54Z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iblio-title">
    <vt:lpwstr>References</vt:lpwstr>
  </property>
  <property fmtid="{D5CDD505-2E9C-101B-9397-08002B2CF9AE}" pid="5" name="bibliography">
    <vt:lpwstr/>
  </property>
  <property fmtid="{D5CDD505-2E9C-101B-9397-08002B2CF9AE}" pid="6" name="by-author">
    <vt:lpwstr/>
  </property>
  <property fmtid="{D5CDD505-2E9C-101B-9397-08002B2CF9AE}" pid="7" name="csl">
    <vt:lpwstr>../assets/apa-6th-edition.csl</vt:lpwstr>
  </property>
  <property fmtid="{D5CDD505-2E9C-101B-9397-08002B2CF9AE}" pid="8" name="engines">
    <vt:lpwstr/>
  </property>
  <property fmtid="{D5CDD505-2E9C-101B-9397-08002B2CF9AE}" pid="9" name="git-version">
    <vt:lpwstr>36463d3</vt:lpwstr>
  </property>
  <property fmtid="{D5CDD505-2E9C-101B-9397-08002B2CF9AE}" pid="10" name="header-includes">
    <vt:lpwstr/>
  </property>
  <property fmtid="{D5CDD505-2E9C-101B-9397-08002B2CF9AE}" pid="11" name="include-after">
    <vt:lpwstr/>
  </property>
  <property fmtid="{D5CDD505-2E9C-101B-9397-08002B2CF9AE}" pid="12" name="include-before">
    <vt:lpwstr/>
  </property>
  <property fmtid="{D5CDD505-2E9C-101B-9397-08002B2CF9AE}" pid="13" name="labels">
    <vt:lpwstr/>
  </property>
  <property fmtid="{D5CDD505-2E9C-101B-9397-08002B2CF9AE}" pid="14" name="lightbox">
    <vt:lpwstr>True</vt:lpwstr>
  </property>
  <property fmtid="{D5CDD505-2E9C-101B-9397-08002B2CF9AE}" pid="15" name="toc-title">
    <vt:lpwstr>Table of contents</vt:lpwstr>
  </property>
</Properties>
</file>