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55.png" ContentType="image/png"/>
  <Override PartName="/word/media/rId61.png" ContentType="image/png"/>
  <Override PartName="/word/media/rId66.png" ContentType="image/png"/>
  <Override PartName="/word/media/rId71.png" ContentType="image/png"/>
  <Override PartName="/word/media/rId76.png" ContentType="image/png"/>
  <Override PartName="/word/media/rId12.png" ContentType="image/png"/>
  <Override PartName="/word/media/rId17.png" ContentType="image/png"/>
  <Override PartName="/word/media/rId86.png" ContentType="image/png"/>
  <Override PartName="/word/media/rId90.png" ContentType="image/png"/>
  <Override PartName="/word/media/rId95.png" ContentType="image/png"/>
  <Override PartName="/word/media/rId100.png" ContentType="image/png"/>
  <Override PartName="/word/media/rId104.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Developmental Logic as Circuit Blueprint.</w:t>
      </w:r>
    </w:p>
    <w:p>
      <w:pPr>
        <w:pStyle w:val="Author"/>
      </w:pPr>
      <w:r>
        <w:t xml:space="preserve">Jelly Soffers</w:t>
      </w:r>
    </w:p>
    <w:bookmarkStart w:id="52" w:name="X78cee12fb222bdaa6571f501b4bd4d0caf6e215"/>
    <w:p>
      <w:pPr>
        <w:pStyle w:val="Heading2"/>
      </w:pPr>
      <w:r>
        <w:t xml:space="preserve">Part 1: Lineage-Specific Optogenetic Activation in the Drosophila Ventral Nerve Cord</w:t>
      </w:r>
    </w:p>
    <w:bookmarkStart w:id="9" w:name="overview"/>
    <w:p>
      <w:pPr>
        <w:pStyle w:val="Heading3"/>
      </w:pPr>
      <w:r>
        <w:t xml:space="preserve">Overview</w:t>
      </w:r>
    </w:p>
    <w:p>
      <w:pPr>
        <w:pStyle w:val="FirstParagraph"/>
      </w:pPr>
      <w:r>
        <w:t xml:space="preserve">This module tests a central principle of nervous system organization: Neural circuits are assembled from developmental building blocks called hemilineages that wire into stereotyped configurations and support distinct behavioral programs.</w:t>
      </w:r>
      <w:r>
        <w:t xml:space="preserve"> </w:t>
      </w:r>
      <w:r>
        <w:t xml:space="preserve">In</w:t>
      </w:r>
      <w:r>
        <w:t xml:space="preserve"> </w:t>
      </w:r>
      <w:r>
        <w:rPr>
          <w:i/>
          <w:iCs/>
        </w:rPr>
        <w:t xml:space="preserve">Drosophila</w:t>
      </w:r>
      <w:r>
        <w:t xml:space="preserve">, each neural lineage arises from a single neuroblast and typically splits into two hemilineages. These hemilineages produce reproducible sets of neurons with characteristic projection patterns, neurotransmitter identity, and connectivity. Because developmental origin constrains morphology and synaptic partners, hemilineage identity biases each population toward participation in particular circuit motifs.</w:t>
      </w:r>
    </w:p>
    <w:p>
      <w:pPr>
        <w:pStyle w:val="BodyText"/>
      </w:pPr>
      <w:r>
        <w:t xml:space="preserve">The key causal prediction tested in part I of this module is that if hemilineages assemble into distinct circuit units, then activating different hemilineages should produce distinct and repeatable motor outputs.</w:t>
      </w:r>
    </w:p>
    <w:p>
      <w:pPr>
        <w:pStyle w:val="BodyText"/>
      </w:pPr>
      <w:r>
        <w:t xml:space="preserve">Students optogenetically activate lineage-defined neuronal populations in the ventral nerve cord (VNC) and observe whether developmental identity predicts behavioral output.</w:t>
      </w:r>
    </w:p>
    <w:bookmarkEnd w:id="9"/>
    <w:bookmarkStart w:id="10" w:name="learning-outcomes"/>
    <w:p>
      <w:pPr>
        <w:pStyle w:val="Heading3"/>
      </w:pPr>
      <w:r>
        <w:t xml:space="preserve">Learning Outcomes</w:t>
      </w:r>
    </w:p>
    <w:p>
      <w:pPr>
        <w:pStyle w:val="FirstParagraph"/>
      </w:pPr>
      <w:r>
        <w:t xml:space="preserve">By the end of this module, students should be able to:</w:t>
      </w:r>
    </w:p>
    <w:p>
      <w:pPr>
        <w:pStyle w:val="Compact"/>
        <w:numPr>
          <w:ilvl w:val="0"/>
          <w:numId w:val="1001"/>
        </w:numPr>
      </w:pPr>
      <w:r>
        <w:t xml:space="preserve">Explain what a neuronal lineage is.</w:t>
      </w:r>
    </w:p>
    <w:p>
      <w:pPr>
        <w:pStyle w:val="Compact"/>
        <w:numPr>
          <w:ilvl w:val="0"/>
          <w:numId w:val="1001"/>
        </w:numPr>
      </w:pPr>
      <w:r>
        <w:t xml:space="preserve">Describe how the split-GAL4 system enables hemilineage-specific manipulations.</w:t>
      </w:r>
    </w:p>
    <w:p>
      <w:pPr>
        <w:pStyle w:val="Compact"/>
        <w:numPr>
          <w:ilvl w:val="0"/>
          <w:numId w:val="1001"/>
        </w:numPr>
      </w:pPr>
      <w:r>
        <w:t xml:space="preserve">Explain how optogenetics can test sufficiency.</w:t>
      </w:r>
    </w:p>
    <w:p>
      <w:pPr>
        <w:pStyle w:val="Compact"/>
        <w:numPr>
          <w:ilvl w:val="0"/>
          <w:numId w:val="1001"/>
        </w:numPr>
      </w:pPr>
      <w:r>
        <w:t xml:space="preserve">Interpret behavioral outputs critically.</w:t>
      </w:r>
    </w:p>
    <w:p>
      <w:pPr>
        <w:pStyle w:val="Compact"/>
        <w:numPr>
          <w:ilvl w:val="0"/>
          <w:numId w:val="1001"/>
        </w:numPr>
      </w:pPr>
      <w:r>
        <w:t xml:space="preserve">Recognize the limitations of activation experiments.</w:t>
      </w:r>
    </w:p>
    <w:p>
      <w:pPr>
        <w:pStyle w:val="Compact"/>
        <w:numPr>
          <w:ilvl w:val="0"/>
          <w:numId w:val="1001"/>
        </w:numPr>
      </w:pPr>
      <w:r>
        <w:t xml:space="preserve">Connect developmental origin to circuit function.</w:t>
      </w:r>
    </w:p>
    <w:bookmarkEnd w:id="10"/>
    <w:bookmarkStart w:id="44" w:name="experiment-preparation"/>
    <w:p>
      <w:pPr>
        <w:pStyle w:val="Heading3"/>
      </w:pPr>
      <w:r>
        <w:t xml:space="preserve">Experiment Preparation</w:t>
      </w:r>
    </w:p>
    <w:bookmarkStart w:id="11" w:name="a.-retinal-in-food-required"/>
    <w:p>
      <w:pPr>
        <w:pStyle w:val="Heading4"/>
      </w:pPr>
      <w:r>
        <w:t xml:space="preserve">A. Retinal in Food (Required)</w:t>
      </w:r>
    </w:p>
    <w:p>
      <w:pPr>
        <w:pStyle w:val="FirstParagraph"/>
      </w:pPr>
      <w:r>
        <w:t xml:space="preserve">Channelrhodopsin (CsChrimson) requires retinal (a vitamin A derivative) as a cofactor to function. Flies must be raised on retinal-supplemented food for optogenetic activation to work. This ensures they are exposed to retinal during their life cycle. Wrap fly vials in foil to prevent unintended activation and maintain flies in the dark at room temperature. Review the protocol ” Retinal Food Preparation” for details about how to prepare and store retinal fly media.</w:t>
      </w:r>
    </w:p>
    <w:bookmarkEnd w:id="11"/>
    <w:bookmarkStart w:id="23" w:name="b.-fly-stocks"/>
    <w:p>
      <w:pPr>
        <w:pStyle w:val="Heading4"/>
      </w:pPr>
      <w:r>
        <w:t xml:space="preserve">B. Fly Stocks</w:t>
      </w:r>
    </w:p>
    <w:p>
      <w:pPr>
        <w:pStyle w:val="FirstParagraph"/>
      </w:pPr>
      <w:r>
        <w:t xml:space="preserve">The fly genotypes used in this module are designed to restrict optogenetic activation to neurons belonging to a single, developmentally defined hemilineage in the ventral nerve cord (VNC). Fly lines (</w:t>
      </w:r>
      <w:hyperlink w:anchor="tbl-hemilineage">
        <w:r>
          <w:rPr>
            <w:rStyle w:val="Hyperlink"/>
          </w:rPr>
          <w:t xml:space="preserve">Table 1</w:t>
        </w:r>
      </w:hyperlink>
      <w:r>
        <w:t xml:space="preserve">) are available from the Lacin Lab. Each experimental genotype contains the following core components: split-GAL4 Hemidrivers and a UAS-responsive optogenetic effector (CsChrimson) fused to mVenus.</w:t>
      </w:r>
    </w:p>
    <w:p>
      <w:pPr>
        <w:pStyle w:val="BodyText"/>
      </w:pPr>
      <w:r>
        <w:t xml:space="preserve">Two separate transgenes encode a GAL4 hemidriver: one Activation Domain (AD) and one GAL4 DNA Binding Domain (DBD). Each hemidriver is expressed under the control of distinct regulatory elements. Only neurons that express</w:t>
      </w:r>
      <w:r>
        <w:t xml:space="preserve"> </w:t>
      </w:r>
      <w:r>
        <w:rPr>
          <w:i/>
          <w:iCs/>
        </w:rPr>
        <w:t xml:space="preserve">both</w:t>
      </w:r>
      <w:r>
        <w:t xml:space="preserve"> </w:t>
      </w:r>
      <w:r>
        <w:t xml:space="preserve">hemidrivers reconstitute functional GAL4. In these lines, the combinatorial intersection occurs selectively in neurons belonging to a single hemilineage</w:t>
      </w:r>
      <w:r>
        <w:t xml:space="preserve"> </w:t>
      </w:r>
      <w:r>
        <w:t xml:space="preserve">(Soffers et al., 2025)</w:t>
      </w:r>
      <w:r>
        <w:t xml:space="preserve">. This enables hemilineage-level targeting based on developmental origin.</w:t>
      </w:r>
    </w:p>
    <w:p>
      <w:pPr>
        <w:pStyle w:val="BodyText"/>
      </w:pPr>
      <w:r>
        <w:t xml:space="preserve">The UAS-CsChrimson-mVenus effector contains one critical component for the classroom demonstration: CsChrimson, which allows red-light-induced depolarization of targeted neurons. This causes the release of neurotransmitters into the synaptic cleft, and this neuronal activity propagates through downstream circuits so that a behavioral output is observed. (The mVenus is important for confocal imaging, when we use the membrane-bound GFP to visualize expression patterns when needed.)</w:t>
      </w:r>
    </w:p>
    <w:p>
      <w:pPr>
        <w:pStyle w:val="BodyText"/>
      </w:pPr>
      <w:r>
        <w:t xml:space="preserve">Some hemilineage lines (e.g., 5B;</w:t>
      </w:r>
      <w:r>
        <w:t xml:space="preserve"> </w:t>
      </w:r>
      <w:hyperlink w:anchor="fig-lines">
        <w:r>
          <w:rPr>
            <w:rStyle w:val="Hyperlink"/>
          </w:rPr>
          <w:t xml:space="preserve">Figure 1</w:t>
        </w:r>
      </w:hyperlink>
      <w:r>
        <w:t xml:space="preserve">) are maintained as stable stocks, in which all required genetic components are present in a single line. Other hemilineages (e.g., 2A, 17A, 14A;</w:t>
      </w:r>
      <w:r>
        <w:t xml:space="preserve"> </w:t>
      </w:r>
      <w:hyperlink w:anchor="fig-lines">
        <w:r>
          <w:rPr>
            <w:rStyle w:val="Hyperlink"/>
          </w:rPr>
          <w:t xml:space="preserve">Figure 1</w:t>
        </w:r>
      </w:hyperlink>
      <w:r>
        <w:t xml:space="preserve">) require genetic crosses to combine the split-GAL4 hemidrivers and the UAS-CsChrimson effector. These crossed lines are typically maintained over balancer chromosomes, which carry visible markers (e.g., Bar eyes for the 1st chromosome (an indent or narrow slit) Curly wings for the 2nd chromosome and a Tubby body shape for the third chromosome). For experimental use, instructors must identify and select flies carrying the correct genotype. For instructors versed in fly genetics, simply select against balancer markers to isolate progeny that contain both split-GAL4 hemidrivers and the UAS-CsChrimson effectors. Alternatively, instructors may briefly illuminate candidate flies and select individuals that show the expected activation phenotype.</w:t>
      </w:r>
    </w:p>
    <w:bookmarkStart w:id="22" w:name="fig-lines"/>
    <w:tbl>
      <w:tblPr>
        <w:tblStyle w:val="Table"/>
        <w:tblW w:type="pct" w:w="4900"/>
        <w:tblLayout w:type="fixed"/>
        <w:tblLook w:firstRow="0" w:lastRow="0" w:firstColumn="0" w:lastColumn="0" w:noHBand="0" w:noVBand="0" w:val="0000"/>
      </w:tblPr>
      <w:tblGrid>
        <w:gridCol w:w="7761"/>
      </w:tblGrid>
      <w:tr>
        <w:tc>
          <w:tcPr/>
          <w:tbl>
            <w:tblPr>
              <w:tblStyle w:val="Table"/>
              <w:tblW w:type="pct" w:w="4900"/>
              <w:tblLayout w:type="fixed"/>
              <w:tblLook w:firstRow="0" w:lastRow="0" w:firstColumn="0" w:lastColumn="0" w:noHBand="0" w:noVBand="0" w:val="0000"/>
            </w:tblPr>
            <w:tblGrid>
              <w:gridCol w:w="7761"/>
            </w:tblGrid>
            <w:tr>
              <w:tc>
                <w:tcPr/>
                <w:bookmarkStart w:id="16" w:name="fig-lines-a"/>
                <w:p>
                  <w:pPr>
                    <w:pStyle w:val="Compact"/>
                    <w:jc w:val="center"/>
                    <w:jc w:val="left"/>
                  </w:pPr>
                  <w:bookmarkStart w:id="15" w:name="fig-lines-a"/>
                  <w:r>
                    <w:drawing>
                      <wp:inline>
                        <wp:extent cx="5334000" cy="2416308"/>
                        <wp:effectExtent b="0" l="0" r="0" t="0"/>
                        <wp:docPr descr="" title="" id="13" name="Picture"/>
                        <a:graphic>
                          <a:graphicData uri="http://schemas.openxmlformats.org/drawingml/2006/picture">
                            <pic:pic>
                              <pic:nvPicPr>
                                <pic:cNvPr descr="assets/module01/lines_a.png" id="14" name="Picture"/>
                                <pic:cNvPicPr>
                                  <a:picLocks noChangeArrowheads="1" noChangeAspect="1"/>
                                </pic:cNvPicPr>
                              </pic:nvPicPr>
                              <pic:blipFill>
                                <a:blip r:embed="rId12"/>
                                <a:stretch>
                                  <a:fillRect/>
                                </a:stretch>
                              </pic:blipFill>
                              <pic:spPr bwMode="auto">
                                <a:xfrm>
                                  <a:off x="0" y="0"/>
                                  <a:ext cx="5334000" cy="2416308"/>
                                </a:xfrm>
                                <a:prstGeom prst="rect">
                                  <a:avLst/>
                                </a:prstGeom>
                                <a:noFill/>
                                <a:ln w="9525">
                                  <a:noFill/>
                                  <a:headEnd/>
                                  <a:tailEnd/>
                                </a:ln>
                              </pic:spPr>
                            </pic:pic>
                          </a:graphicData>
                        </a:graphic>
                      </wp:inline>
                    </w:drawing>
                  </w:r>
                  <w:bookmarkEnd w:id="15"/>
                </w:p>
                <w:p>
                  <w:pPr>
                    <w:jc w:val="center"/>
                    <w:jc w:val="left"/>
                  </w:pPr>
                  <w:pPr>
                    <w:jc w:val="left"/>
                    <w:spacing w:before="200"/>
                    <w:pStyle w:val="ImageCaption"/>
                  </w:pPr>
                  <w:r>
                    <w:t xml:space="preserve">(a)</w:t>
                  </w:r>
                </w:p>
                <w:bookmarkEnd w:id="16"/>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7761"/>
      </w:tblGrid>
      <w:tr>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7761"/>
      </w:tblGrid>
      <w:tr>
        <w:tc>
          <w:tcPr/>
          <w:tbl>
            <w:tblPr>
              <w:tblStyle w:val="Table"/>
              <w:tblW w:type="pct" w:w="4900"/>
              <w:tblLayout w:type="fixed"/>
              <w:tblLook w:firstRow="0" w:lastRow="0" w:firstColumn="0" w:lastColumn="0" w:noHBand="0" w:noVBand="0" w:val="0000"/>
            </w:tblPr>
            <w:tblGrid>
              <w:gridCol w:w="7761"/>
            </w:tblGrid>
            <w:tr>
              <w:tc>
                <w:tcPr/>
                <w:bookmarkStart w:id="21" w:name="fig-lines-b"/>
                <w:p>
                  <w:pPr>
                    <w:pStyle w:val="Compact"/>
                    <w:jc w:val="center"/>
                    <w:jc w:val="left"/>
                  </w:pPr>
                  <w:bookmarkStart w:id="20" w:name="fig-lines-b"/>
                  <w:r>
                    <w:drawing>
                      <wp:inline>
                        <wp:extent cx="5334000" cy="2389918"/>
                        <wp:effectExtent b="0" l="0" r="0" t="0"/>
                        <wp:docPr descr="" title="" id="18" name="Picture"/>
                        <a:graphic>
                          <a:graphicData uri="http://schemas.openxmlformats.org/drawingml/2006/picture">
                            <pic:pic>
                              <pic:nvPicPr>
                                <pic:cNvPr descr="assets/module01/lines_b.png" id="19" name="Picture"/>
                                <pic:cNvPicPr>
                                  <a:picLocks noChangeArrowheads="1" noChangeAspect="1"/>
                                </pic:cNvPicPr>
                              </pic:nvPicPr>
                              <pic:blipFill>
                                <a:blip r:embed="rId17"/>
                                <a:stretch>
                                  <a:fillRect/>
                                </a:stretch>
                              </pic:blipFill>
                              <pic:spPr bwMode="auto">
                                <a:xfrm>
                                  <a:off x="0" y="0"/>
                                  <a:ext cx="5334000" cy="2389918"/>
                                </a:xfrm>
                                <a:prstGeom prst="rect">
                                  <a:avLst/>
                                </a:prstGeom>
                                <a:noFill/>
                                <a:ln w="9525">
                                  <a:noFill/>
                                  <a:headEnd/>
                                  <a:tailEnd/>
                                </a:ln>
                              </pic:spPr>
                            </pic:pic>
                          </a:graphicData>
                        </a:graphic>
                      </wp:inline>
                    </w:drawing>
                  </w:r>
                  <w:bookmarkEnd w:id="20"/>
                </w:p>
                <w:p>
                  <w:pPr>
                    <w:jc w:val="center"/>
                    <w:jc w:val="left"/>
                  </w:pPr>
                  <w:pPr>
                    <w:jc w:val="left"/>
                    <w:spacing w:before="200"/>
                    <w:pStyle w:val="ImageCaption"/>
                  </w:pPr>
                  <w:r>
                    <w:t xml:space="preserve">(b)</w:t>
                  </w:r>
                </w:p>
                <w:bookmarkEnd w:id="21"/>
              </w:tc>
            </w:tr>
          </w:tbl>
          <w:p/>
        </w:tc>
      </w:tr>
    </w:tbl>
    <w:p>
      <w:pPr>
        <w:pStyle w:val="BodyText"/>
      </w:pPr>
      <w:pPr>
        <w:spacing w:before="200"/>
        <w:pStyle w:val="ImageCaption"/>
      </w:pPr>
      <w:r>
        <w:t xml:space="preserve">Figure 1: GAL4 lines</w:t>
      </w:r>
    </w:p>
    <w:bookmarkEnd w:id="22"/>
    <w:bookmarkEnd w:id="23"/>
    <w:bookmarkStart w:id="25" w:name="X93d2aec578567c33760b29db767ce1c20762f92"/>
    <w:p>
      <w:pPr>
        <w:pStyle w:val="Heading4"/>
      </w:pPr>
      <w:r>
        <w:t xml:space="preserve">Cross Size, Fly Number Planning and Petri-dish preparation:</w:t>
      </w:r>
    </w:p>
    <w:p>
      <w:pPr>
        <w:pStyle w:val="FirstParagraph"/>
      </w:pPr>
      <w:r>
        <w:rPr>
          <w:b/>
          <w:bCs/>
        </w:rPr>
        <w:t xml:space="preserve">Cross timing:</w:t>
      </w:r>
      <w:r>
        <w:t xml:space="preserve"> </w:t>
      </w:r>
      <w:r>
        <w:t xml:space="preserve">Flies eclose around 10 days after the cross was set, and adults can be kept for up to a week and ill still have a strong response.</w:t>
      </w:r>
    </w:p>
    <w:p>
      <w:pPr>
        <w:pStyle w:val="BodyText"/>
      </w:pPr>
      <w:r>
        <w:rPr>
          <w:b/>
          <w:bCs/>
        </w:rPr>
        <w:t xml:space="preserve">Parental setup per vial:</w:t>
      </w:r>
      <w:r>
        <w:t xml:space="preserve"> </w:t>
      </w:r>
      <w:r>
        <w:t xml:space="preserve">10-15 virgin females × 5-10 males.</w:t>
      </w:r>
    </w:p>
    <w:p>
      <w:pPr>
        <w:pStyle w:val="BodyText"/>
      </w:pPr>
      <w:r>
        <w:t xml:space="preserve">For hemilineages that require genetic crosses, we recommend setting several ~3 cross vials and passing them to fresh food every 2–3 days to maintain consistent output. Because selection against balancer markers reduces the number of usable flies, aim to produce at least 120 total adults prior to sorting. This will typically yield ~30 correctly genotyped flies per hemilineage for each student group. Approximately 30 correctly genotyped flies per hemilineage is typically sufficient for a standard class section and makes about 6 Petri dishes populated with 5 flies that can shuffle between the student groups. Depending on class size and the number of groups rotating simultaneously, instructors may wish to prepare more than one dishes.</w:t>
      </w:r>
      <w:r>
        <w:t xml:space="preserve"> </w:t>
      </w:r>
      <w:r>
        <w:t xml:space="preserve">We recommend keeping backup flies in reserve in the dark to replace animals that become overstimulated or unresponsive during repeated activation trials or get lost during dish handling accidents.</w:t>
      </w:r>
    </w:p>
    <w:p>
      <w:pPr>
        <w:pStyle w:val="BodyText"/>
      </w:pPr>
      <w:r>
        <w:t xml:space="preserve">Optionally, instructors can prepare a set of decapitated flies. This step is not required but provides a compelling comparison. This optional manipulation isolates the VNC by removing brain input. Optogenetic activation in decapitated flies shows that the behavior can be driven by the ventral nerve cord independently of the brain. Perform decapitation the afternoon before the experiment, since flies can survive up to 48 hours depending on the cleanliness of cut and duration of anesthesia. Procedure: Anesthetize flies on ice; Decapitate the flies using a razor blade or fine scissors by making a clean cut between head and thorax; Place flies in a Petri dish with damp paper towels to prevent dehydration through the neck wound, and maintain at room temperature.</w:t>
      </w:r>
    </w:p>
    <w:tbl>
      <w:tblPr>
        <w:tblStyle w:val="Table"/>
        <w:tblW w:type="pct" w:w="5000"/>
        <w:tblLayout w:type="fixed"/>
        <w:tblLook w:firstRow="0" w:lastRow="0" w:firstColumn="0" w:lastColumn="0" w:noHBand="0" w:noVBand="0" w:val="0000"/>
      </w:tblPr>
      <w:tblGrid>
        <w:gridCol w:w="7920"/>
      </w:tblGrid>
      <w:tr>
        <w:tc>
          <w:tcPr/>
          <w:bookmarkStart w:id="24" w:name="tbl-hemilineage"/>
          <w:p>
            <w:pPr>
              <w:jc w:val="center"/>
            </w:pPr>
            <w:pPr>
              <w:jc w:val="left"/>
              <w:spacing w:before="200"/>
              <w:pStyle w:val="ImageCaption"/>
            </w:pPr>
            <w:r>
              <w:t xml:space="preserve">Table 1: Fly Stocks and Behavioral Outputs</w:t>
            </w:r>
          </w:p>
          <w:tbl>
            <w:tblPr>
              <w:tblStyle w:val="Table"/>
              <w:tblW w:type="pct" w:w="5000"/>
              <w:tblLayout w:type="fixed"/>
              <w:tblLook w:firstRow="1" w:lastRow="0" w:firstColumn="0" w:lastColumn="0" w:noHBand="0" w:noVBand="0" w:val="0020"/>
            </w:tblPr>
            <w:tblGrid>
              <w:gridCol w:w="792"/>
              <w:gridCol w:w="4752"/>
              <w:gridCol w:w="2376"/>
            </w:tblGrid>
            <w:tr>
              <w:trPr>
                <w:tblHeader w:val="on"/>
              </w:trPr>
              <w:tc>
                <w:tcPr/>
                <w:p>
                  <w:pPr>
                    <w:pStyle w:val="Compact"/>
                    <w:jc w:val="left"/>
                    <w:jc w:val="center"/>
                  </w:pPr>
                  <w:r>
                    <w:t xml:space="preserve">Hemilineage</w:t>
                  </w:r>
                </w:p>
              </w:tc>
              <w:tc>
                <w:tcPr/>
                <w:p>
                  <w:pPr>
                    <w:pStyle w:val="Compact"/>
                    <w:jc w:val="left"/>
                    <w:jc w:val="center"/>
                  </w:pPr>
                  <w:r>
                    <w:t xml:space="preserve">Genotype</w:t>
                  </w:r>
                </w:p>
              </w:tc>
              <w:tc>
                <w:tcPr/>
                <w:p>
                  <w:pPr>
                    <w:pStyle w:val="Compact"/>
                    <w:jc w:val="left"/>
                    <w:jc w:val="center"/>
                  </w:pPr>
                  <w:r>
                    <w:t xml:space="preserve">Behavior upon Optogenetic Activation</w:t>
                  </w:r>
                </w:p>
              </w:tc>
            </w:tr>
            <w:tr>
              <w:tc>
                <w:tcPr/>
                <w:p>
                  <w:pPr>
                    <w:pStyle w:val="Compact"/>
                    <w:jc w:val="left"/>
                    <w:jc w:val="center"/>
                  </w:pPr>
                  <w:r>
                    <w:t xml:space="preserve">2A</w:t>
                  </w:r>
                </w:p>
              </w:tc>
              <w:tc>
                <w:tcPr/>
                <w:p>
                  <w:pPr>
                    <w:pStyle w:val="Compact"/>
                    <w:jc w:val="left"/>
                    <w:jc w:val="center"/>
                  </w:pPr>
                  <w:r>
                    <w:t xml:space="preserve">VGluT-GAL4AD/20x-UAS-CsChrimson.mVenus; Sox21A-GAL4DBD/+</w:t>
                  </w:r>
                </w:p>
              </w:tc>
              <w:tc>
                <w:tcPr/>
                <w:p>
                  <w:pPr>
                    <w:pStyle w:val="Compact"/>
                    <w:jc w:val="left"/>
                    <w:jc w:val="center"/>
                  </w:pPr>
                  <w:r>
                    <w:t xml:space="preserve">Wing buzzing</w:t>
                  </w:r>
                </w:p>
              </w:tc>
            </w:tr>
            <w:tr>
              <w:tc>
                <w:tcPr/>
                <w:p>
                  <w:pPr>
                    <w:pStyle w:val="Compact"/>
                    <w:jc w:val="left"/>
                    <w:jc w:val="center"/>
                  </w:pPr>
                  <w:r>
                    <w:t xml:space="preserve">4B</w:t>
                  </w:r>
                </w:p>
              </w:tc>
              <w:tc>
                <w:tcPr/>
                <w:p>
                  <w:pPr>
                    <w:pStyle w:val="Compact"/>
                    <w:jc w:val="left"/>
                    <w:jc w:val="center"/>
                  </w:pPr>
                  <w:r>
                    <w:t xml:space="preserve">ap-GAL4AD/CyO;fkbDBD,0x-UAS-CsChrimson.mVenus/(TM6B)</w:t>
                  </w:r>
                </w:p>
              </w:tc>
              <w:tc>
                <w:tcPr/>
                <w:p>
                  <w:pPr>
                    <w:pStyle w:val="Compact"/>
                    <w:jc w:val="left"/>
                    <w:jc w:val="center"/>
                  </w:pPr>
                  <w:r>
                    <w:t xml:space="preserve">Leg extension</w:t>
                  </w:r>
                </w:p>
              </w:tc>
            </w:tr>
            <w:tr>
              <w:tc>
                <w:tcPr/>
                <w:p>
                  <w:pPr>
                    <w:pStyle w:val="Compact"/>
                    <w:jc w:val="left"/>
                    <w:jc w:val="center"/>
                  </w:pPr>
                  <w:r>
                    <w:t xml:space="preserve">5B</w:t>
                  </w:r>
                </w:p>
              </w:tc>
              <w:tc>
                <w:tcPr/>
                <w:p>
                  <w:pPr>
                    <w:pStyle w:val="Compact"/>
                    <w:jc w:val="left"/>
                    <w:jc w:val="center"/>
                  </w:pPr>
                  <w:r>
                    <w:t xml:space="preserve">20x-UAS-CsChrimson.mVenus attP18/+; Vg-GAL4AD/CyO; Toy-GAL4DBD/In(4)Ci</w:t>
                  </w:r>
                </w:p>
              </w:tc>
              <w:tc>
                <w:tcPr/>
                <w:p>
                  <w:pPr>
                    <w:pStyle w:val="Compact"/>
                    <w:jc w:val="left"/>
                    <w:jc w:val="center"/>
                  </w:pPr>
                  <w:r>
                    <w:t xml:space="preserve">Freeze</w:t>
                  </w:r>
                </w:p>
              </w:tc>
            </w:tr>
            <w:tr>
              <w:tc>
                <w:tcPr/>
                <w:p>
                  <w:pPr>
                    <w:pStyle w:val="Compact"/>
                    <w:jc w:val="left"/>
                    <w:jc w:val="center"/>
                  </w:pPr>
                  <w:r>
                    <w:t xml:space="preserve">14A</w:t>
                  </w:r>
                </w:p>
              </w:tc>
              <w:tc>
                <w:tcPr/>
                <w:p>
                  <w:pPr>
                    <w:pStyle w:val="Compact"/>
                    <w:jc w:val="left"/>
                    <w:jc w:val="center"/>
                  </w:pPr>
                  <w:r>
                    <w:t xml:space="preserve">20x-UAS-CsChrimson.mVenus/+; Dr-GAL4DBD/+; Toy-GAL4AD/+</w:t>
                  </w:r>
                </w:p>
              </w:tc>
              <w:tc>
                <w:tcPr/>
                <w:p>
                  <w:pPr>
                    <w:pStyle w:val="Compact"/>
                    <w:jc w:val="left"/>
                    <w:jc w:val="center"/>
                  </w:pPr>
                  <w:r>
                    <w:t xml:space="preserve">Falling over</w:t>
                  </w:r>
                </w:p>
              </w:tc>
            </w:tr>
            <w:tr>
              <w:tc>
                <w:tcPr/>
                <w:p>
                  <w:pPr>
                    <w:pStyle w:val="Compact"/>
                    <w:jc w:val="left"/>
                    <w:jc w:val="center"/>
                  </w:pPr>
                  <w:r>
                    <w:t xml:space="preserve">17A</w:t>
                  </w:r>
                </w:p>
              </w:tc>
              <w:tc>
                <w:tcPr/>
                <w:p>
                  <w:pPr>
                    <w:pStyle w:val="Compact"/>
                    <w:jc w:val="left"/>
                    <w:jc w:val="center"/>
                  </w:pPr>
                  <w:r>
                    <w:t xml:space="preserve">Unc4-GAL4AD/FM7;; HMX-GAL4DBD/TM2</w:t>
                  </w:r>
                </w:p>
              </w:tc>
              <w:tc>
                <w:tcPr/>
                <w:p>
                  <w:pPr>
                    <w:pStyle w:val="Compact"/>
                    <w:jc w:val="left"/>
                    <w:jc w:val="center"/>
                  </w:pPr>
                  <w:r>
                    <w:t xml:space="preserve">Rogue leg spasms</w:t>
                  </w:r>
                </w:p>
              </w:tc>
            </w:tr>
          </w:tbl>
          <w:bookmarkEnd w:id="24"/>
          <w:p/>
        </w:tc>
      </w:tr>
    </w:tbl>
    <w:bookmarkEnd w:id="25"/>
    <w:bookmarkStart w:id="43" w:name="interpreting-behavioral-outputs"/>
    <w:p>
      <w:pPr>
        <w:pStyle w:val="Heading4"/>
      </w:pPr>
      <w:r>
        <w:t xml:space="preserve">Interpreting Behavioral Outputs</w:t>
      </w:r>
    </w:p>
    <w:p>
      <w:pPr>
        <w:pStyle w:val="FirstParagraph"/>
      </w:pPr>
      <w:r>
        <w:t xml:space="preserve">The behavioral programs elicited by activating different hemilineages are not random motor effects. Each hemilineage produces a distinct and reproducible motor pattern, such an abrupt cessation of locomotion (</w:t>
      </w:r>
      <w:r>
        <w:t xml:space="preserve">“freezing”</w:t>
      </w:r>
      <w:r>
        <w:t xml:space="preserve">), stained rhythmic wing vibration (</w:t>
      </w:r>
      <w:r>
        <w:t xml:space="preserve">“wing buzzing”</w:t>
      </w:r>
      <w:r>
        <w:t xml:space="preserve">), repetitive leg movements (</w:t>
      </w:r>
      <w:r>
        <w:t xml:space="preserve">“leg spasms”</w:t>
      </w:r>
      <w:r>
        <w:t xml:space="preserve">, or loss of postural control (</w:t>
      </w:r>
      <w:r>
        <w:t xml:space="preserve">“falling over”</w:t>
      </w:r>
      <w:r>
        <w:t xml:space="preserve">). Instructors are encouraged to review these clips prior to class to become familiar with the characteristic motor outputs. The recordings and confocal images showing CsChrimson-mVenus expression pattern are reproduced from:</w:t>
      </w:r>
      <w:r>
        <w:t xml:space="preserve"> </w:t>
      </w:r>
      <w:r>
        <w:t xml:space="preserve">Soffers et al. (2025)</w:t>
      </w:r>
      <w:r>
        <w:t xml:space="preserve">, reproduced under CC-BY license. These responses are not generalized hyperactivity or random twitching, but coordinated motor outputs that reflect engagement of distinct downstream circuitry within the ventral nerve cord. These behaviors reflect engagement of different downstream circuit architectures within the ventral nerve cord.</w:t>
      </w:r>
    </w:p>
    <w:p>
      <w:pPr>
        <w:pStyle w:val="BodyText"/>
      </w:pPr>
      <w:r>
        <w:t xml:space="preserve">If hemilineages were interchangeable or wired indiscriminately, activation would be expected to produce similar or chaotic motor outputs. Instead, the reproducibility and distinctiveness of these behaviors support the central principle tested in this module: developmental identity biases neurons toward participation in specific circuit motifs. In other words, hemilineages integrate into different functional circuits.</w:t>
      </w:r>
    </w:p>
    <w:p>
      <w:pPr>
        <w:pStyle w:val="BodyText"/>
      </w:pPr>
      <w:r>
        <w:t xml:space="preserve">Thus, behavioral divergence serves as functional evidence that developmental origin constrains circuit architecture.</w:t>
      </w:r>
    </w:p>
    <w:bookmarkStart w:id="42" w:name="fig-behavior"/>
    <w:tbl>
      <w:tblPr>
        <w:tblStyle w:val="Table"/>
        <w:tblW w:type="pct" w:w="4900"/>
        <w:tblLayout w:type="fixed"/>
        <w:tblLook w:firstRow="0" w:lastRow="0" w:firstColumn="0" w:lastColumn="0" w:noHBand="0" w:noVBand="0" w:val="0000"/>
      </w:tblPr>
      <w:tblGrid>
        <w:gridCol w:w="2587"/>
        <w:gridCol w:w="2587"/>
        <w:gridCol w:w="2587"/>
      </w:tblGrid>
      <w:tr>
        <w:tc>
          <w:tcPr/>
          <w:tbl>
            <w:tblPr>
              <w:tblStyle w:val="Table"/>
              <w:tblW w:type="pct" w:w="4900"/>
              <w:tblLayout w:type="fixed"/>
              <w:tblLook w:firstRow="0" w:lastRow="0" w:firstColumn="0" w:lastColumn="0" w:noHBand="0" w:noVBand="0" w:val="0000"/>
            </w:tblPr>
            <w:tblGrid>
              <w:gridCol w:w="7761"/>
            </w:tblGrid>
            <w:tr>
              <w:tc>
                <w:tcPr/>
                <w:bookmarkStart w:id="27" w:name="fig-behavior-a"/>
                <w:p>
                  <w:pPr>
                    <w:pStyle w:val="Compact"/>
                    <w:jc w:val="center"/>
                    <w:jc w:val="left"/>
                  </w:pPr>
                  <w:hyperlink r:id="rId26">
                    <w:r>
                      <w:rPr>
                        <w:rStyle w:val="Hyperlink"/>
                      </w:rPr>
                      <w:t xml:space="preserve">assets/module01/Video-5B-1.mp4</w:t>
                    </w:r>
                  </w:hyperlink>
                </w:p>
                <w:p>
                  <w:pPr>
                    <w:jc w:val="center"/>
                    <w:jc w:val="left"/>
                  </w:pPr>
                  <w:pPr>
                    <w:jc w:val="left"/>
                    <w:spacing w:before="200"/>
                    <w:pStyle w:val="ImageCaption"/>
                  </w:pPr>
                  <w:r>
                    <w:t xml:space="preserve">(a) Line 5B, example 1</w:t>
                  </w:r>
                </w:p>
                <w:bookmarkEnd w:id="27"/>
              </w:tc>
            </w:tr>
          </w:tbl>
          <w:p/>
        </w:tc>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29" w:name="fig-behavior-b"/>
                <w:p>
                  <w:pPr>
                    <w:pStyle w:val="Compact"/>
                    <w:jc w:val="center"/>
                    <w:jc w:val="left"/>
                  </w:pPr>
                  <w:hyperlink r:id="rId28">
                    <w:r>
                      <w:rPr>
                        <w:rStyle w:val="Hyperlink"/>
                      </w:rPr>
                      <w:t xml:space="preserve">assets/module01/Video-5B-2.mp4</w:t>
                    </w:r>
                  </w:hyperlink>
                </w:p>
                <w:p>
                  <w:pPr>
                    <w:jc w:val="center"/>
                    <w:jc w:val="left"/>
                  </w:pPr>
                  <w:pPr>
                    <w:jc w:val="left"/>
                    <w:spacing w:before="200"/>
                    <w:pStyle w:val="ImageCaption"/>
                  </w:pPr>
                  <w:r>
                    <w:t xml:space="preserve">(b) Line 5B, example 2</w:t>
                  </w:r>
                </w:p>
                <w:bookmarkEnd w:id="29"/>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2587"/>
        <w:gridCol w:w="2587"/>
        <w:gridCol w:w="2587"/>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31" w:name="fig-behavior-c"/>
                <w:p>
                  <w:pPr>
                    <w:pStyle w:val="Compact"/>
                    <w:jc w:val="center"/>
                    <w:jc w:val="left"/>
                  </w:pPr>
                  <w:hyperlink r:id="rId30">
                    <w:r>
                      <w:rPr>
                        <w:rStyle w:val="Hyperlink"/>
                      </w:rPr>
                      <w:t xml:space="preserve">assets/module01/Video-5B-3.mp4</w:t>
                    </w:r>
                  </w:hyperlink>
                </w:p>
                <w:p>
                  <w:pPr>
                    <w:jc w:val="center"/>
                    <w:jc w:val="left"/>
                  </w:pPr>
                  <w:pPr>
                    <w:jc w:val="left"/>
                    <w:spacing w:before="200"/>
                    <w:pStyle w:val="ImageCaption"/>
                  </w:pPr>
                  <w:r>
                    <w:t xml:space="preserve">(c) Line 5B, example 3</w:t>
                  </w:r>
                </w:p>
                <w:bookmarkEnd w:id="31"/>
              </w:tc>
            </w:tr>
          </w:tbl>
          <w:p/>
        </w:tc>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2587"/>
        <w:gridCol w:w="2587"/>
        <w:gridCol w:w="2587"/>
      </w:tblGrid>
      <w:tr>
        <w:tc>
          <w:tcPr/>
          <w:tbl>
            <w:tblPr>
              <w:tblStyle w:val="Table"/>
              <w:tblW w:type="pct" w:w="4900"/>
              <w:tblLayout w:type="fixed"/>
              <w:tblLook w:firstRow="0" w:lastRow="0" w:firstColumn="0" w:lastColumn="0" w:noHBand="0" w:noVBand="0" w:val="0000"/>
            </w:tblPr>
            <w:tblGrid>
              <w:gridCol w:w="7761"/>
            </w:tblGrid>
            <w:tr>
              <w:tc>
                <w:tcPr/>
                <w:bookmarkStart w:id="33" w:name="fig-behavior-d"/>
                <w:p>
                  <w:pPr>
                    <w:pStyle w:val="Compact"/>
                    <w:jc w:val="center"/>
                    <w:jc w:val="left"/>
                  </w:pPr>
                  <w:hyperlink r:id="rId32">
                    <w:r>
                      <w:rPr>
                        <w:rStyle w:val="Hyperlink"/>
                      </w:rPr>
                      <w:t xml:space="preserve">assets/module01/Video-5B-4.mp4</w:t>
                    </w:r>
                  </w:hyperlink>
                </w:p>
                <w:p>
                  <w:pPr>
                    <w:jc w:val="center"/>
                    <w:jc w:val="left"/>
                  </w:pPr>
                  <w:pPr>
                    <w:jc w:val="left"/>
                    <w:spacing w:before="200"/>
                    <w:pStyle w:val="ImageCaption"/>
                  </w:pPr>
                  <w:r>
                    <w:t xml:space="preserve">(d) Line 5B, example 4</w:t>
                  </w:r>
                </w:p>
                <w:bookmarkEnd w:id="33"/>
              </w:tc>
            </w:tr>
          </w:tbl>
          <w:p/>
        </w:tc>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35" w:name="fig-behavior-e"/>
                <w:p>
                  <w:pPr>
                    <w:pStyle w:val="Compact"/>
                    <w:jc w:val="center"/>
                    <w:jc w:val="left"/>
                  </w:pPr>
                  <w:hyperlink r:id="rId34">
                    <w:r>
                      <w:rPr>
                        <w:rStyle w:val="Hyperlink"/>
                      </w:rPr>
                      <w:t xml:space="preserve">assets/module01/Video-14A-1.mp4</w:t>
                    </w:r>
                  </w:hyperlink>
                </w:p>
                <w:p>
                  <w:pPr>
                    <w:jc w:val="center"/>
                    <w:jc w:val="left"/>
                  </w:pPr>
                  <w:pPr>
                    <w:jc w:val="left"/>
                    <w:spacing w:before="200"/>
                    <w:pStyle w:val="ImageCaption"/>
                  </w:pPr>
                  <w:r>
                    <w:t xml:space="preserve">(e) Line 14A, example 1</w:t>
                  </w:r>
                </w:p>
                <w:bookmarkEnd w:id="35"/>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2587"/>
        <w:gridCol w:w="2587"/>
        <w:gridCol w:w="2587"/>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37" w:name="fig-behavior-f"/>
                <w:p>
                  <w:pPr>
                    <w:pStyle w:val="Compact"/>
                    <w:jc w:val="center"/>
                    <w:jc w:val="left"/>
                  </w:pPr>
                  <w:hyperlink r:id="rId36">
                    <w:r>
                      <w:rPr>
                        <w:rStyle w:val="Hyperlink"/>
                      </w:rPr>
                      <w:t xml:space="preserve">assets/module01/Video-14A-2.mp4</w:t>
                    </w:r>
                  </w:hyperlink>
                </w:p>
                <w:p>
                  <w:pPr>
                    <w:jc w:val="center"/>
                    <w:jc w:val="left"/>
                  </w:pPr>
                  <w:pPr>
                    <w:jc w:val="left"/>
                    <w:spacing w:before="200"/>
                    <w:pStyle w:val="ImageCaption"/>
                  </w:pPr>
                  <w:r>
                    <w:t xml:space="preserve">(f) Line 14A, example 2</w:t>
                  </w:r>
                </w:p>
                <w:bookmarkEnd w:id="37"/>
              </w:tc>
            </w:tr>
          </w:tbl>
          <w:p/>
        </w:tc>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2587"/>
        <w:gridCol w:w="2587"/>
        <w:gridCol w:w="2587"/>
      </w:tblGrid>
      <w:tr>
        <w:tc>
          <w:tcPr/>
          <w:tbl>
            <w:tblPr>
              <w:tblStyle w:val="Table"/>
              <w:tblW w:type="pct" w:w="4900"/>
              <w:tblLayout w:type="fixed"/>
              <w:tblLook w:firstRow="0" w:lastRow="0" w:firstColumn="0" w:lastColumn="0" w:noHBand="0" w:noVBand="0" w:val="0000"/>
            </w:tblPr>
            <w:tblGrid>
              <w:gridCol w:w="7761"/>
            </w:tblGrid>
            <w:tr>
              <w:tc>
                <w:tcPr/>
                <w:bookmarkStart w:id="39" w:name="fig-behavior-g"/>
                <w:p>
                  <w:pPr>
                    <w:pStyle w:val="Compact"/>
                    <w:jc w:val="center"/>
                    <w:jc w:val="left"/>
                  </w:pPr>
                  <w:hyperlink r:id="rId38">
                    <w:r>
                      <w:rPr>
                        <w:rStyle w:val="Hyperlink"/>
                      </w:rPr>
                      <w:t xml:space="preserve">assets/module01/Video-17A-1.mp4</w:t>
                    </w:r>
                  </w:hyperlink>
                </w:p>
                <w:p>
                  <w:pPr>
                    <w:jc w:val="center"/>
                    <w:jc w:val="left"/>
                  </w:pPr>
                  <w:pPr>
                    <w:jc w:val="left"/>
                    <w:spacing w:before="200"/>
                    <w:pStyle w:val="ImageCaption"/>
                  </w:pPr>
                  <w:r>
                    <w:t xml:space="preserve">(g) Line 17A, example 1</w:t>
                  </w:r>
                </w:p>
                <w:bookmarkEnd w:id="39"/>
              </w:tc>
            </w:tr>
          </w:tbl>
          <w:p/>
        </w:tc>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41" w:name="fig-behavior-h"/>
                <w:p>
                  <w:pPr>
                    <w:pStyle w:val="Compact"/>
                    <w:jc w:val="center"/>
                    <w:jc w:val="left"/>
                  </w:pPr>
                  <w:hyperlink r:id="rId40">
                    <w:r>
                      <w:rPr>
                        <w:rStyle w:val="Hyperlink"/>
                      </w:rPr>
                      <w:t xml:space="preserve">assets/module01/Video-17A-2.mp4</w:t>
                    </w:r>
                  </w:hyperlink>
                </w:p>
                <w:p>
                  <w:pPr>
                    <w:jc w:val="center"/>
                    <w:jc w:val="left"/>
                  </w:pPr>
                  <w:pPr>
                    <w:jc w:val="left"/>
                    <w:spacing w:before="200"/>
                    <w:pStyle w:val="ImageCaption"/>
                  </w:pPr>
                  <w:r>
                    <w:t xml:space="preserve">(h) Line 17A, example 2</w:t>
                  </w:r>
                </w:p>
                <w:bookmarkEnd w:id="41"/>
              </w:tc>
            </w:tr>
          </w:tbl>
          <w:p/>
        </w:tc>
      </w:tr>
    </w:tbl>
    <w:p>
      <w:pPr>
        <w:pStyle w:val="BodyText"/>
      </w:pPr>
      <w:pPr>
        <w:spacing w:before="200"/>
        <w:pStyle w:val="ImageCaption"/>
      </w:pPr>
      <w:r>
        <w:t xml:space="preserve">Figure 2: Behavior</w:t>
      </w:r>
    </w:p>
    <w:bookmarkEnd w:id="42"/>
    <w:bookmarkEnd w:id="43"/>
    <w:bookmarkEnd w:id="44"/>
    <w:bookmarkStart w:id="49" w:name="classroom-execution"/>
    <w:p>
      <w:pPr>
        <w:pStyle w:val="Heading3"/>
      </w:pPr>
      <w:r>
        <w:t xml:space="preserve">Classroom Execution</w:t>
      </w:r>
    </w:p>
    <w:bookmarkStart w:id="45" w:name="lighting-conditions"/>
    <w:p>
      <w:pPr>
        <w:pStyle w:val="Heading4"/>
      </w:pPr>
      <w:r>
        <w:t xml:space="preserve">Lighting Conditions</w:t>
      </w:r>
    </w:p>
    <w:p>
      <w:pPr>
        <w:pStyle w:val="FirstParagraph"/>
      </w:pPr>
      <w:r>
        <w:t xml:space="preserve">We recommend conducting the experiments in a dimly lit room. However, the selected genotypes have been tested and the behaviors remain robust under low ambient light.</w:t>
      </w:r>
    </w:p>
    <w:bookmarkEnd w:id="45"/>
    <w:bookmarkStart w:id="46" w:name="blinded-experimental-setup"/>
    <w:p>
      <w:pPr>
        <w:pStyle w:val="Heading4"/>
      </w:pPr>
      <w:r>
        <w:t xml:space="preserve">Blinded Experimental Setup</w:t>
      </w:r>
    </w:p>
    <w:p>
      <w:pPr>
        <w:pStyle w:val="FirstParagraph"/>
      </w:pPr>
      <w:r>
        <w:t xml:space="preserve">To preserve the integrity of the causal reasoning exercise, flies should be distributed into coded Petri dishes prior to class, and students should not know which hemilineage they are observing. This can be done the day before the class, or just before. The instructor should maintain a separate genotype key. Blinding prevents students from matching expected behaviors to genotype labels and instead requires them to infer lineage identity based solely on observed motor output. This reinforces the experimental logic of hypothesis testing: if developmental identity dictates circuit function, then distinct and reproducible behaviors should allow students to deduce genotype from phenotype.</w:t>
      </w:r>
    </w:p>
    <w:p>
      <w:pPr>
        <w:pStyle w:val="Compact"/>
        <w:numPr>
          <w:ilvl w:val="0"/>
          <w:numId w:val="1002"/>
        </w:numPr>
      </w:pPr>
      <w:r>
        <w:t xml:space="preserve">Label Petri dishes with coded identifiers.</w:t>
      </w:r>
    </w:p>
    <w:p>
      <w:pPr>
        <w:pStyle w:val="Compact"/>
        <w:numPr>
          <w:ilvl w:val="0"/>
          <w:numId w:val="1002"/>
        </w:numPr>
      </w:pPr>
      <w:r>
        <w:t xml:space="preserve">Students should not know which genotype they are observing. This introduces experimental controls and reduces bias.</w:t>
      </w:r>
    </w:p>
    <w:p>
      <w:pPr>
        <w:pStyle w:val="Compact"/>
        <w:numPr>
          <w:ilvl w:val="0"/>
          <w:numId w:val="1002"/>
        </w:numPr>
      </w:pPr>
      <w:r>
        <w:t xml:space="preserve">The teacher maintains a separate genotype key.</w:t>
      </w:r>
    </w:p>
    <w:p>
      <w:pPr>
        <w:pStyle w:val="Compact"/>
        <w:numPr>
          <w:ilvl w:val="0"/>
          <w:numId w:val="1002"/>
        </w:numPr>
      </w:pPr>
      <w:r>
        <w:t xml:space="preserve">Preparing the Flies</w:t>
      </w:r>
    </w:p>
    <w:p>
      <w:pPr>
        <w:pStyle w:val="Compact"/>
        <w:numPr>
          <w:ilvl w:val="1"/>
          <w:numId w:val="1003"/>
        </w:numPr>
      </w:pPr>
      <w:r>
        <w:t xml:space="preserve">Keep vials wrapped in foil until use.</w:t>
      </w:r>
    </w:p>
    <w:p>
      <w:pPr>
        <w:pStyle w:val="Compact"/>
        <w:numPr>
          <w:ilvl w:val="1"/>
          <w:numId w:val="1003"/>
        </w:numPr>
      </w:pPr>
      <w:r>
        <w:t xml:space="preserve">Place vials on ice to gently anesthetize flies.</w:t>
      </w:r>
    </w:p>
    <w:p>
      <w:pPr>
        <w:pStyle w:val="Compact"/>
        <w:numPr>
          <w:ilvl w:val="1"/>
          <w:numId w:val="1003"/>
        </w:numPr>
      </w:pPr>
      <w:r>
        <w:t xml:space="preserve">Transfer flies to a small (5 cm) Petri dish.</w:t>
      </w:r>
    </w:p>
    <w:bookmarkEnd w:id="46"/>
    <w:bookmarkStart w:id="47" w:name="student-observation"/>
    <w:p>
      <w:pPr>
        <w:pStyle w:val="Heading4"/>
      </w:pPr>
      <w:r>
        <w:t xml:space="preserve">Student Observation</w:t>
      </w:r>
    </w:p>
    <w:p>
      <w:pPr>
        <w:pStyle w:val="Compact"/>
        <w:numPr>
          <w:ilvl w:val="0"/>
          <w:numId w:val="1004"/>
        </w:numPr>
      </w:pPr>
      <w:r>
        <w:t xml:space="preserve">Provide each group with a strong flashlight (see</w:t>
      </w:r>
      <w:r>
        <w:t xml:space="preserve"> </w:t>
      </w:r>
      <w:hyperlink w:anchor="tbl-equipment">
        <w:r>
          <w:rPr>
            <w:rStyle w:val="Hyperlink"/>
          </w:rPr>
          <w:t xml:space="preserve">Table 2</w:t>
        </w:r>
      </w:hyperlink>
      <w:r>
        <w:t xml:space="preserve">).</w:t>
      </w:r>
    </w:p>
    <w:p>
      <w:pPr>
        <w:pStyle w:val="Compact"/>
        <w:numPr>
          <w:ilvl w:val="0"/>
          <w:numId w:val="1004"/>
        </w:numPr>
      </w:pPr>
      <w:r>
        <w:t xml:space="preserve">When illuminated, each optogenetic activation of each genotype produces a distinct, reproducible behavior.</w:t>
      </w:r>
    </w:p>
    <w:p>
      <w:pPr>
        <w:pStyle w:val="Compact"/>
        <w:numPr>
          <w:ilvl w:val="0"/>
          <w:numId w:val="1004"/>
        </w:numPr>
      </w:pPr>
      <w:r>
        <w:t xml:space="preserve">Students use the Student Handout to record observations, compare behaviors and to match each behavioral output to a lineage.</w:t>
      </w:r>
    </w:p>
    <w:bookmarkEnd w:id="47"/>
    <w:bookmarkStart w:id="48" w:name="discussion-and-student-engagement"/>
    <w:p>
      <w:pPr>
        <w:pStyle w:val="Heading4"/>
      </w:pPr>
      <w:r>
        <w:t xml:space="preserve">Discussion and student engagement</w:t>
      </w:r>
    </w:p>
    <w:bookmarkEnd w:id="48"/>
    <w:bookmarkEnd w:id="49"/>
    <w:bookmarkStart w:id="51" w:name="suggested-teaching-script"/>
    <w:p>
      <w:pPr>
        <w:pStyle w:val="Heading3"/>
      </w:pPr>
      <w:r>
        <w:t xml:space="preserve">Suggested Teaching Script:</w:t>
      </w:r>
    </w:p>
    <w:bookmarkStart w:id="50" w:name="introduction-to-neuronal-lineages"/>
    <w:p>
      <w:pPr>
        <w:pStyle w:val="Heading4"/>
      </w:pPr>
      <w:r>
        <w:t xml:space="preserve">Introduction to Neuronal Lineages</w:t>
      </w:r>
    </w:p>
    <w:p>
      <w:pPr>
        <w:pStyle w:val="Compact"/>
        <w:numPr>
          <w:ilvl w:val="0"/>
          <w:numId w:val="1005"/>
        </w:numPr>
      </w:pPr>
      <w:r>
        <w:t xml:space="preserve">Explain how the brain is organized into clusters of neurons (lineages/hemi-lineages) derived from common progenitors.</w:t>
      </w:r>
    </w:p>
    <w:p>
      <w:pPr>
        <w:pStyle w:val="Compact"/>
        <w:numPr>
          <w:ilvl w:val="0"/>
          <w:numId w:val="1005"/>
        </w:numPr>
      </w:pPr>
      <w:r>
        <w:t xml:space="preserve">Highlight the anatomical and potential functional significance of these lineages, focusing on the</w:t>
      </w:r>
      <w:r>
        <w:t xml:space="preserve"> </w:t>
      </w:r>
      <w:r>
        <w:rPr>
          <w:i/>
          <w:iCs/>
        </w:rPr>
        <w:t xml:space="preserve">Drosophila</w:t>
      </w:r>
      <w:r>
        <w:t xml:space="preserve"> </w:t>
      </w:r>
      <w:r>
        <w:t xml:space="preserve">ventral nerve cord (VNC).</w:t>
      </w:r>
    </w:p>
    <w:p>
      <w:pPr>
        <w:pStyle w:val="Compact"/>
        <w:numPr>
          <w:ilvl w:val="0"/>
          <w:numId w:val="1005"/>
        </w:numPr>
      </w:pPr>
      <w:r>
        <w:t xml:space="preserve">Connect to broader neuroscience concepts about circuit organization.</w:t>
      </w:r>
    </w:p>
    <w:p>
      <w:pPr>
        <w:pStyle w:val="FirstParagraph"/>
      </w:pPr>
      <w:r>
        <w:t xml:space="preserve">Experimental Approach: Optogenetic Activation and Split-GAL4 System</w:t>
      </w:r>
      <w:r>
        <w:t xml:space="preserve"> </w:t>
      </w:r>
      <w:r>
        <w:t xml:space="preserve">Objective: Describe the experimental tools students will use to study neuronal lineages.</w:t>
      </w:r>
    </w:p>
    <w:p>
      <w:pPr>
        <w:pStyle w:val="Compact"/>
        <w:numPr>
          <w:ilvl w:val="0"/>
          <w:numId w:val="1006"/>
        </w:numPr>
      </w:pPr>
      <w:r>
        <w:t xml:space="preserve">Overview of split-GAL4 genetic drivers for lineage-specific targeting.</w:t>
      </w:r>
    </w:p>
    <w:p>
      <w:pPr>
        <w:pStyle w:val="Compact"/>
        <w:numPr>
          <w:ilvl w:val="0"/>
          <w:numId w:val="1006"/>
        </w:numPr>
      </w:pPr>
      <w:r>
        <w:t xml:space="preserve">Explanation of optogenetics to activate neurons and observe behavioral outputs.</w:t>
      </w:r>
    </w:p>
    <w:p>
      <w:pPr>
        <w:pStyle w:val="Compact"/>
        <w:numPr>
          <w:ilvl w:val="0"/>
          <w:numId w:val="1006"/>
        </w:numPr>
      </w:pPr>
      <w:r>
        <w:t xml:space="preserve">Emphasize how this approach tests whether activating a hemilineage is sufficient to drive behavior.</w:t>
      </w:r>
    </w:p>
    <w:p>
      <w:pPr>
        <w:pStyle w:val="FirstParagraph"/>
      </w:pPr>
      <w:r>
        <w:t xml:space="preserve">Interpreting Experimental Results: Capabilities and Limitations</w:t>
      </w:r>
      <w:r>
        <w:t xml:space="preserve"> </w:t>
      </w:r>
      <w:r>
        <w:t xml:space="preserve">Objective: Encourage critical thinking about what the experiments reveal and their constraints.</w:t>
      </w:r>
      <w:r>
        <w:t xml:space="preserve"> </w:t>
      </w:r>
      <w:r>
        <w:t xml:space="preserve">This experiment demonstrates:</w:t>
      </w:r>
    </w:p>
    <w:p>
      <w:pPr>
        <w:pStyle w:val="Compact"/>
        <w:numPr>
          <w:ilvl w:val="0"/>
          <w:numId w:val="1007"/>
        </w:numPr>
      </w:pPr>
      <w:r>
        <w:t xml:space="preserve">Activation of a hemilineage can drive a specific motor output.</w:t>
      </w:r>
    </w:p>
    <w:p>
      <w:pPr>
        <w:pStyle w:val="Compact"/>
        <w:numPr>
          <w:ilvl w:val="0"/>
          <w:numId w:val="1007"/>
        </w:numPr>
      </w:pPr>
      <w:r>
        <w:t xml:space="preserve">Developmental units dictate functional behavior.</w:t>
      </w:r>
    </w:p>
    <w:p>
      <w:pPr>
        <w:pStyle w:val="Compact"/>
        <w:numPr>
          <w:ilvl w:val="0"/>
          <w:numId w:val="1007"/>
        </w:numPr>
      </w:pPr>
      <w:r>
        <w:t xml:space="preserve">Genetic tools allow precise manipulation.</w:t>
      </w:r>
    </w:p>
    <w:p>
      <w:pPr>
        <w:pStyle w:val="FirstParagraph"/>
      </w:pPr>
      <w:r>
        <w:t xml:space="preserve">However, it does not show:</w:t>
      </w:r>
    </w:p>
    <w:p>
      <w:pPr>
        <w:pStyle w:val="Compact"/>
        <w:numPr>
          <w:ilvl w:val="0"/>
          <w:numId w:val="1008"/>
        </w:numPr>
      </w:pPr>
      <w:r>
        <w:t xml:space="preserve">Which individual neuron is responsible.</w:t>
      </w:r>
    </w:p>
    <w:p>
      <w:pPr>
        <w:pStyle w:val="Compact"/>
        <w:numPr>
          <w:ilvl w:val="0"/>
          <w:numId w:val="1008"/>
        </w:numPr>
      </w:pPr>
      <w:r>
        <w:t xml:space="preserve">Whether these neurons are naturally active during behavior.</w:t>
      </w:r>
    </w:p>
    <w:p>
      <w:pPr>
        <w:pStyle w:val="Compact"/>
        <w:numPr>
          <w:ilvl w:val="0"/>
          <w:numId w:val="1008"/>
        </w:numPr>
      </w:pPr>
      <w:r>
        <w:t xml:space="preserve">Whether the lineage is necessary for the behavior.</w:t>
      </w:r>
    </w:p>
    <w:p>
      <w:pPr>
        <w:pStyle w:val="FirstParagraph"/>
      </w:pPr>
      <w:r>
        <w:t xml:space="preserve">Observed behaviors result from:</w:t>
      </w:r>
    </w:p>
    <w:p>
      <w:pPr>
        <w:pStyle w:val="Compact"/>
        <w:numPr>
          <w:ilvl w:val="0"/>
          <w:numId w:val="1009"/>
        </w:numPr>
      </w:pPr>
      <w:r>
        <w:t xml:space="preserve">Activation of the targeted hemilineage.</w:t>
      </w:r>
    </w:p>
    <w:p>
      <w:pPr>
        <w:pStyle w:val="Compact"/>
        <w:numPr>
          <w:ilvl w:val="0"/>
          <w:numId w:val="1009"/>
        </w:numPr>
      </w:pPr>
      <w:r>
        <w:t xml:space="preserve">Activation of downstream partner neurons (including other lineages).</w:t>
      </w:r>
    </w:p>
    <w:p>
      <w:pPr>
        <w:pStyle w:val="FirstParagraph"/>
      </w:pPr>
      <w:r>
        <w:t xml:space="preserve">Teachers can discuss and explain:</w:t>
      </w:r>
    </w:p>
    <w:p>
      <w:pPr>
        <w:pStyle w:val="Compact"/>
        <w:numPr>
          <w:ilvl w:val="0"/>
          <w:numId w:val="1010"/>
        </w:numPr>
      </w:pPr>
      <w:r>
        <w:t xml:space="preserve">Clarify that observed behaviors result from activation of the hemilineage and its downstream partners, including other lineages.</w:t>
      </w:r>
    </w:p>
    <w:p>
      <w:pPr>
        <w:pStyle w:val="Compact"/>
        <w:numPr>
          <w:ilvl w:val="0"/>
          <w:numId w:val="1010"/>
        </w:numPr>
      </w:pPr>
      <w:r>
        <w:t xml:space="preserve">Explain that this method does not pinpoint specific neurons responsible for behaviors or show natural activity patterns.</w:t>
      </w:r>
    </w:p>
    <w:p>
      <w:pPr>
        <w:pStyle w:val="Compact"/>
        <w:numPr>
          <w:ilvl w:val="0"/>
          <w:numId w:val="1010"/>
        </w:numPr>
      </w:pPr>
      <w:r>
        <w:t xml:space="preserve">Highlight that necessity cannot be established without additional techniques like silencing or ablation.</w:t>
      </w:r>
    </w:p>
    <w:p>
      <w:pPr>
        <w:pStyle w:val="FirstParagraph"/>
      </w:pPr>
      <w:r>
        <w:t xml:space="preserve">Extending the Inquiry: Advanced Tools and Questions</w:t>
      </w:r>
      <w:r>
        <w:t xml:space="preserve"> </w:t>
      </w:r>
      <w:r>
        <w:t xml:space="preserve">Objective: Introduce students to more sophisticated research tools and open questions.</w:t>
      </w:r>
    </w:p>
    <w:p>
      <w:pPr>
        <w:pStyle w:val="Compact"/>
        <w:numPr>
          <w:ilvl w:val="0"/>
          <w:numId w:val="1011"/>
        </w:numPr>
      </w:pPr>
      <w:r>
        <w:t xml:space="preserve">Discuss neuronal silencing methods (Kir2.1, TNT, Shibirets) and lineage-specific ablation (reaper expression).</w:t>
      </w:r>
    </w:p>
    <w:p>
      <w:pPr>
        <w:pStyle w:val="Compact"/>
        <w:numPr>
          <w:ilvl w:val="0"/>
          <w:numId w:val="1011"/>
        </w:numPr>
      </w:pPr>
      <w:r>
        <w:t xml:space="preserve">Introduce functional imaging (calcium imaging) to observe real-time neural activity.</w:t>
      </w:r>
    </w:p>
    <w:p>
      <w:pPr>
        <w:pStyle w:val="Compact"/>
        <w:numPr>
          <w:ilvl w:val="0"/>
          <w:numId w:val="1011"/>
        </w:numPr>
      </w:pPr>
      <w:r>
        <w:t xml:space="preserve">Frame these tools as ways to investigate necessity, connectivity, and circuit function.</w:t>
      </w:r>
    </w:p>
    <w:bookmarkEnd w:id="50"/>
    <w:bookmarkEnd w:id="51"/>
    <w:bookmarkEnd w:id="52"/>
    <w:bookmarkStart w:id="111" w:name="part-ii"/>
    <w:p>
      <w:pPr>
        <w:pStyle w:val="Heading2"/>
      </w:pPr>
      <w:r>
        <w:t xml:space="preserve">Part II</w:t>
      </w:r>
    </w:p>
    <w:bookmarkStart w:id="53" w:name="overview-1"/>
    <w:p>
      <w:pPr>
        <w:pStyle w:val="Heading3"/>
      </w:pPr>
      <w:r>
        <w:t xml:space="preserve">Overview</w:t>
      </w:r>
    </w:p>
    <w:p>
      <w:pPr>
        <w:pStyle w:val="FirstParagraph"/>
      </w:pPr>
      <w:r>
        <w:t xml:space="preserve">This protocol guides students through the Neuroglancer interface to examine how neurons from different hemilineages contribute to premotor control of the tergotrochanteral motor neuron (TTMn) in the escape circuit.</w:t>
      </w:r>
    </w:p>
    <w:bookmarkEnd w:id="53"/>
    <w:bookmarkStart w:id="54" w:name="learning-outcomes-1"/>
    <w:p>
      <w:pPr>
        <w:pStyle w:val="Heading3"/>
      </w:pPr>
      <w:r>
        <w:t xml:space="preserve">Learning Outcomes</w:t>
      </w:r>
    </w:p>
    <w:p>
      <w:pPr>
        <w:pStyle w:val="FirstParagraph"/>
      </w:pPr>
      <w:r>
        <w:t xml:space="preserve">This analysis reveals that neurons from multiple hemilineages converge onto the TTMn, demonstrating that lineage-defined modules are selectively incorporated into specific circuit motifs. Rather than acting as isolated units, hemilineages contribute distributed and functionally diverse inputs that collectively shape motor output.</w:t>
      </w:r>
    </w:p>
    <w:bookmarkEnd w:id="54"/>
    <w:bookmarkStart w:id="82" w:name="overview-of-dataset-for-reference"/>
    <w:p>
      <w:pPr>
        <w:pStyle w:val="Heading3"/>
      </w:pPr>
      <w:r>
        <w:t xml:space="preserve">Overview of Dataset (for reference)</w:t>
      </w:r>
    </w:p>
    <w:p>
      <w:pPr>
        <w:pStyle w:val="FirstParagraph"/>
      </w:pPr>
      <w:r>
        <w:t xml:space="preserve">Presynaptic partners of the TTMn were identified from the MANC connectome v1.2 using a neuPrint query that extracts upstream neurons forming ≥10 synapses onto the TTMn (neuron ID: XXXXX). Neurons not assigned to a hemilineage were excluded from analysis. The resulting dataset is provided in</w:t>
      </w:r>
      <w:r>
        <w:t xml:space="preserve"> </w:t>
      </w:r>
      <w:hyperlink w:anchor="tbl-manc-ids">
        <w:r>
          <w:rPr>
            <w:rStyle w:val="Hyperlink"/>
          </w:rPr>
          <w:t xml:space="preserve">Table 3</w:t>
        </w:r>
      </w:hyperlink>
      <w:r>
        <w:t xml:space="preserve">, which includes neuron IDs, hemilineage identity, synapse counts, and neurotransmitter annotations.</w:t>
      </w:r>
    </w:p>
    <w:p>
      <w:pPr>
        <w:pStyle w:val="BodyText"/>
      </w:pPr>
      <w:r>
        <w:t xml:space="preserve">A Neuroglancer link is provided that contains:</w:t>
      </w:r>
    </w:p>
    <w:p>
      <w:pPr>
        <w:numPr>
          <w:ilvl w:val="0"/>
          <w:numId w:val="1012"/>
        </w:numPr>
      </w:pPr>
      <w:r>
        <w:t xml:space="preserve">The full EM volume as a structural reference;</w:t>
      </w:r>
    </w:p>
    <w:p>
      <w:pPr>
        <w:numPr>
          <w:ilvl w:val="0"/>
          <w:numId w:val="1012"/>
        </w:numPr>
      </w:pPr>
      <w:r>
        <w:t xml:space="preserve">Neuropil outlines for anatomical context;</w:t>
      </w:r>
    </w:p>
    <w:p>
      <w:pPr>
        <w:numPr>
          <w:ilvl w:val="0"/>
          <w:numId w:val="1012"/>
        </w:numPr>
      </w:pPr>
      <w:r>
        <w:t xml:space="preserve">The Giant Fiber (GF; neuron ID: XXXX);</w:t>
      </w:r>
    </w:p>
    <w:p>
      <w:pPr>
        <w:numPr>
          <w:ilvl w:val="0"/>
          <w:numId w:val="1012"/>
        </w:numPr>
      </w:pPr>
      <w:r>
        <w:t xml:space="preserve">The TTMn (neuron ID: XXXXX);</w:t>
      </w:r>
    </w:p>
    <w:p>
      <w:pPr>
        <w:numPr>
          <w:ilvl w:val="0"/>
          <w:numId w:val="1012"/>
        </w:numPr>
      </w:pPr>
      <w:r>
        <w:t xml:space="preserve">TTMn input, with neurons from each hemilineage assigned to separate layers;</w:t>
      </w:r>
    </w:p>
    <w:p>
      <w:pPr>
        <w:numPr>
          <w:ilvl w:val="0"/>
          <w:numId w:val="1012"/>
        </w:numPr>
      </w:pPr>
      <w:r>
        <w:t xml:space="preserve">All neurons belonging to each hemilineage for the right hemisegment of T2 as reference populations, with each hemilineage assigned to its own. Follow this link to open Neuprint</w:t>
      </w:r>
      <w:r>
        <w:t xml:space="preserve"> </w:t>
      </w:r>
      <w:r>
        <w:rPr>
          <w:b/>
          <w:bCs/>
        </w:rPr>
        <w:t xml:space="preserve">?@fig-neuprint-a</w:t>
      </w:r>
      <w:r>
        <w:t xml:space="preserve">.</w:t>
      </w:r>
    </w:p>
    <w:tbl>
      <w:tblPr>
        <w:tblStyle w:val="Table"/>
        <w:tblW w:type="pct" w:w="5000"/>
        <w:tblLayout w:type="fixed"/>
        <w:tblLook w:firstRow="0" w:lastRow="0" w:firstColumn="0" w:lastColumn="0" w:noHBand="0" w:noVBand="0" w:val="0000"/>
      </w:tblPr>
      <w:tblGrid>
        <w:gridCol w:w="7920"/>
      </w:tblGrid>
      <w:tr>
        <w:tc>
          <w:tcPr/>
          <w:bookmarkStart w:id="59" w:name="fig-optogenetics"/>
          <w:p>
            <w:pPr>
              <w:pStyle w:val="Compact"/>
              <w:jc w:val="center"/>
            </w:pPr>
            <w:bookmarkStart w:id="58" w:name="fig-neuprint-a"/>
            <w:r>
              <w:drawing>
                <wp:inline>
                  <wp:extent cx="3251200" cy="3251200"/>
                  <wp:effectExtent b="0" l="0" r="0" t="0"/>
                  <wp:docPr descr="" title="" id="56" name="Picture"/>
                  <a:graphic>
                    <a:graphicData uri="http://schemas.openxmlformats.org/drawingml/2006/picture">
                      <pic:pic>
                        <pic:nvPicPr>
                          <pic:cNvPr descr="assets/hemilineage/QR_neuprint.png" id="57" name="Picture"/>
                          <pic:cNvPicPr>
                            <a:picLocks noChangeArrowheads="1" noChangeAspect="1"/>
                          </pic:cNvPicPr>
                        </pic:nvPicPr>
                        <pic:blipFill>
                          <a:blip r:embed="rId55"/>
                          <a:stretch>
                            <a:fillRect/>
                          </a:stretch>
                        </pic:blipFill>
                        <pic:spPr bwMode="auto">
                          <a:xfrm>
                            <a:off x="0" y="0"/>
                            <a:ext cx="3251200" cy="3251200"/>
                          </a:xfrm>
                          <a:prstGeom prst="rect">
                            <a:avLst/>
                          </a:prstGeom>
                          <a:noFill/>
                          <a:ln w="9525">
                            <a:noFill/>
                            <a:headEnd/>
                            <a:tailEnd/>
                          </a:ln>
                        </pic:spPr>
                      </pic:pic>
                    </a:graphicData>
                  </a:graphic>
                </wp:inline>
              </w:drawing>
            </w:r>
            <w:bookmarkEnd w:id="58"/>
          </w:p>
          <w:p>
            <w:pPr>
              <w:jc w:val="center"/>
            </w:pPr>
            <w:pPr>
              <w:jc w:val="left"/>
              <w:spacing w:before="200"/>
              <w:pStyle w:val="ImageCaption"/>
            </w:pPr>
            <w:r>
              <w:t xml:space="preserve">Figure 3: Link to Neuprint</w:t>
            </w:r>
          </w:p>
          <w:bookmarkEnd w:id="59"/>
        </w:tc>
      </w:tr>
    </w:tbl>
    <w:p>
      <w:pPr>
        <w:pStyle w:val="BodyText"/>
      </w:pPr>
      <w:hyperlink r:id="rId60">
        <w:r>
          <w:rPr>
            <w:rStyle w:val="Hyperlink"/>
          </w:rPr>
          <w:t xml:space="preserve">https://clio-ng.janelia.org/#!gs://flyem-user-links/short/EscapeCircuit.json</w:t>
        </w:r>
      </w:hyperlink>
    </w:p>
    <w:bookmarkStart w:id="81" w:name="fig-giant-fiber"/>
    <w:tbl>
      <w:tblPr>
        <w:tblStyle w:val="Table"/>
        <w:tblW w:type="pct" w:w="4900"/>
        <w:tblLayout w:type="fixed"/>
        <w:tblLook w:firstRow="0" w:lastRow="0" w:firstColumn="0" w:lastColumn="0" w:noHBand="0" w:noVBand="0" w:val="0000"/>
      </w:tblPr>
      <w:tblGrid>
        <w:gridCol w:w="3880"/>
        <w:gridCol w:w="3880"/>
      </w:tblGrid>
      <w:tr>
        <w:tc>
          <w:tcPr/>
          <w:tbl>
            <w:tblPr>
              <w:tblStyle w:val="Table"/>
              <w:tblW w:type="pct" w:w="4900"/>
              <w:tblLayout w:type="fixed"/>
              <w:tblLook w:firstRow="0" w:lastRow="0" w:firstColumn="0" w:lastColumn="0" w:noHBand="0" w:noVBand="0" w:val="0000"/>
            </w:tblPr>
            <w:tblGrid>
              <w:gridCol w:w="7761"/>
            </w:tblGrid>
            <w:tr>
              <w:tc>
                <w:tcPr/>
                <w:bookmarkStart w:id="65" w:name="fig-gf-a"/>
                <w:p>
                  <w:pPr>
                    <w:pStyle w:val="Compact"/>
                    <w:jc w:val="center"/>
                    <w:jc w:val="left"/>
                  </w:pPr>
                  <w:bookmarkStart w:id="64" w:name="fig-gf-a"/>
                  <w:r>
                    <w:drawing>
                      <wp:inline>
                        <wp:extent cx="2971800" cy="2423486"/>
                        <wp:effectExtent b="0" l="0" r="0" t="0"/>
                        <wp:docPr descr="" title="" id="62" name="Picture"/>
                        <a:graphic>
                          <a:graphicData uri="http://schemas.openxmlformats.org/drawingml/2006/picture">
                            <pic:pic>
                              <pic:nvPicPr>
                                <pic:cNvPr descr="assets/module01/gf_a.png" id="63" name="Picture"/>
                                <pic:cNvPicPr>
                                  <a:picLocks noChangeArrowheads="1" noChangeAspect="1"/>
                                </pic:cNvPicPr>
                              </pic:nvPicPr>
                              <pic:blipFill>
                                <a:blip r:embed="rId61"/>
                                <a:stretch>
                                  <a:fillRect/>
                                </a:stretch>
                              </pic:blipFill>
                              <pic:spPr bwMode="auto">
                                <a:xfrm>
                                  <a:off x="0" y="0"/>
                                  <a:ext cx="2971800" cy="2423486"/>
                                </a:xfrm>
                                <a:prstGeom prst="rect">
                                  <a:avLst/>
                                </a:prstGeom>
                                <a:noFill/>
                                <a:ln w="9525">
                                  <a:noFill/>
                                  <a:headEnd/>
                                  <a:tailEnd/>
                                </a:ln>
                              </pic:spPr>
                            </pic:pic>
                          </a:graphicData>
                        </a:graphic>
                      </wp:inline>
                    </w:drawing>
                  </w:r>
                  <w:bookmarkEnd w:id="64"/>
                </w:p>
                <w:p>
                  <w:pPr>
                    <w:jc w:val="center"/>
                    <w:jc w:val="left"/>
                  </w:pPr>
                  <w:pPr>
                    <w:jc w:val="left"/>
                    <w:spacing w:before="200"/>
                    <w:pStyle w:val="ImageCaption"/>
                  </w:pPr>
                  <w:r>
                    <w:t xml:space="preserve">(a)</w:t>
                  </w:r>
                </w:p>
                <w:bookmarkEnd w:id="65"/>
              </w:tc>
            </w:tr>
          </w:tbl>
          <w:p/>
        </w:tc>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tbl>
            <w:tblPr>
              <w:tblStyle w:val="Table"/>
              <w:tblW w:type="pct" w:w="4900"/>
              <w:tblLayout w:type="fixed"/>
              <w:tblLook w:firstRow="0" w:lastRow="0" w:firstColumn="0" w:lastColumn="0" w:noHBand="0" w:noVBand="0" w:val="0000"/>
            </w:tblPr>
            <w:tblGrid>
              <w:gridCol w:w="7761"/>
            </w:tblGrid>
            <w:tr>
              <w:tc>
                <w:tcPr/>
                <w:bookmarkStart w:id="70" w:name="fig-gf-b"/>
                <w:p>
                  <w:pPr>
                    <w:pStyle w:val="Compact"/>
                    <w:jc w:val="center"/>
                    <w:jc w:val="left"/>
                  </w:pPr>
                  <w:bookmarkStart w:id="69" w:name="fig-gf-b"/>
                  <w:r>
                    <w:drawing>
                      <wp:inline>
                        <wp:extent cx="2971800" cy="3075601"/>
                        <wp:effectExtent b="0" l="0" r="0" t="0"/>
                        <wp:docPr descr="" title="" id="67" name="Picture"/>
                        <a:graphic>
                          <a:graphicData uri="http://schemas.openxmlformats.org/drawingml/2006/picture">
                            <pic:pic>
                              <pic:nvPicPr>
                                <pic:cNvPr descr="assets/module01/gf_b.png" id="68" name="Picture"/>
                                <pic:cNvPicPr>
                                  <a:picLocks noChangeArrowheads="1" noChangeAspect="1"/>
                                </pic:cNvPicPr>
                              </pic:nvPicPr>
                              <pic:blipFill>
                                <a:blip r:embed="rId66"/>
                                <a:stretch>
                                  <a:fillRect/>
                                </a:stretch>
                              </pic:blipFill>
                              <pic:spPr bwMode="auto">
                                <a:xfrm>
                                  <a:off x="0" y="0"/>
                                  <a:ext cx="2971800" cy="3075601"/>
                                </a:xfrm>
                                <a:prstGeom prst="rect">
                                  <a:avLst/>
                                </a:prstGeom>
                                <a:noFill/>
                                <a:ln w="9525">
                                  <a:noFill/>
                                  <a:headEnd/>
                                  <a:tailEnd/>
                                </a:ln>
                              </pic:spPr>
                            </pic:pic>
                          </a:graphicData>
                        </a:graphic>
                      </wp:inline>
                    </w:drawing>
                  </w:r>
                  <w:bookmarkEnd w:id="69"/>
                </w:p>
                <w:p>
                  <w:pPr>
                    <w:jc w:val="center"/>
                    <w:jc w:val="left"/>
                  </w:pPr>
                  <w:pPr>
                    <w:jc w:val="left"/>
                    <w:spacing w:before="200"/>
                    <w:pStyle w:val="ImageCaption"/>
                  </w:pPr>
                  <w:r>
                    <w:t xml:space="preserve">(b)</w:t>
                  </w:r>
                </w:p>
                <w:bookmarkEnd w:id="70"/>
              </w:tc>
            </w:tr>
          </w:tbl>
          <w:p/>
        </w:tc>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tbl>
            <w:tblPr>
              <w:tblStyle w:val="Table"/>
              <w:tblW w:type="pct" w:w="4900"/>
              <w:tblLayout w:type="fixed"/>
              <w:tblLook w:firstRow="0" w:lastRow="0" w:firstColumn="0" w:lastColumn="0" w:noHBand="0" w:noVBand="0" w:val="0000"/>
            </w:tblPr>
            <w:tblGrid>
              <w:gridCol w:w="7761"/>
            </w:tblGrid>
            <w:tr>
              <w:tc>
                <w:tcPr/>
                <w:bookmarkStart w:id="75" w:name="fig-gf-c"/>
                <w:p>
                  <w:pPr>
                    <w:pStyle w:val="Compact"/>
                    <w:jc w:val="center"/>
                    <w:jc w:val="left"/>
                  </w:pPr>
                  <w:bookmarkStart w:id="74" w:name="fig-gf-c"/>
                  <w:r>
                    <w:drawing>
                      <wp:inline>
                        <wp:extent cx="2971800" cy="2909963"/>
                        <wp:effectExtent b="0" l="0" r="0" t="0"/>
                        <wp:docPr descr="" title="" id="72" name="Picture"/>
                        <a:graphic>
                          <a:graphicData uri="http://schemas.openxmlformats.org/drawingml/2006/picture">
                            <pic:pic>
                              <pic:nvPicPr>
                                <pic:cNvPr descr="assets/module01/gf_c.png" id="73" name="Picture"/>
                                <pic:cNvPicPr>
                                  <a:picLocks noChangeArrowheads="1" noChangeAspect="1"/>
                                </pic:cNvPicPr>
                              </pic:nvPicPr>
                              <pic:blipFill>
                                <a:blip r:embed="rId71"/>
                                <a:stretch>
                                  <a:fillRect/>
                                </a:stretch>
                              </pic:blipFill>
                              <pic:spPr bwMode="auto">
                                <a:xfrm>
                                  <a:off x="0" y="0"/>
                                  <a:ext cx="2971800" cy="2909963"/>
                                </a:xfrm>
                                <a:prstGeom prst="rect">
                                  <a:avLst/>
                                </a:prstGeom>
                                <a:noFill/>
                                <a:ln w="9525">
                                  <a:noFill/>
                                  <a:headEnd/>
                                  <a:tailEnd/>
                                </a:ln>
                              </pic:spPr>
                            </pic:pic>
                          </a:graphicData>
                        </a:graphic>
                      </wp:inline>
                    </w:drawing>
                  </w:r>
                  <w:bookmarkEnd w:id="74"/>
                </w:p>
                <w:p>
                  <w:pPr>
                    <w:jc w:val="center"/>
                    <w:jc w:val="left"/>
                  </w:pPr>
                  <w:pPr>
                    <w:jc w:val="left"/>
                    <w:spacing w:before="200"/>
                    <w:pStyle w:val="ImageCaption"/>
                  </w:pPr>
                  <w:r>
                    <w:t xml:space="preserve">(c)</w:t>
                  </w:r>
                </w:p>
                <w:bookmarkEnd w:id="75"/>
              </w:tc>
            </w:tr>
          </w:tbl>
          <w:p/>
        </w:tc>
        <w:tc>
          <w:tcPr/>
          <w:p>
            <w:pPr>
              <w:jc w:val="left"/>
            </w:pPr>
            <w:r>
              <w:t xml:space="preserve"> </w:t>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7761"/>
      </w:tblGrid>
      <w:tr>
        <w:tc>
          <w:tcPr/>
          <w:tbl>
            <w:tblPr>
              <w:tblStyle w:val="Table"/>
              <w:tblW w:type="pct" w:w="4900"/>
              <w:tblLayout w:type="fixed"/>
              <w:tblLook w:firstRow="0" w:lastRow="0" w:firstColumn="0" w:lastColumn="0" w:noHBand="0" w:noVBand="0" w:val="0000"/>
            </w:tblPr>
            <w:tblGrid>
              <w:gridCol w:w="7761"/>
            </w:tblGrid>
            <w:tr>
              <w:tc>
                <w:tcPr/>
                <w:bookmarkStart w:id="80" w:name="fig-gf-d"/>
                <w:p>
                  <w:pPr>
                    <w:pStyle w:val="Compact"/>
                    <w:jc w:val="center"/>
                    <w:jc w:val="left"/>
                  </w:pPr>
                  <w:bookmarkStart w:id="79" w:name="fig-gf-d"/>
                  <w:r>
                    <w:drawing>
                      <wp:inline>
                        <wp:extent cx="2971800" cy="1509866"/>
                        <wp:effectExtent b="0" l="0" r="0" t="0"/>
                        <wp:docPr descr="" title="" id="77" name="Picture"/>
                        <a:graphic>
                          <a:graphicData uri="http://schemas.openxmlformats.org/drawingml/2006/picture">
                            <pic:pic>
                              <pic:nvPicPr>
                                <pic:cNvPr descr="assets/module01/gf_d.png" id="78" name="Picture"/>
                                <pic:cNvPicPr>
                                  <a:picLocks noChangeArrowheads="1" noChangeAspect="1"/>
                                </pic:cNvPicPr>
                              </pic:nvPicPr>
                              <pic:blipFill>
                                <a:blip r:embed="rId76"/>
                                <a:stretch>
                                  <a:fillRect/>
                                </a:stretch>
                              </pic:blipFill>
                              <pic:spPr bwMode="auto">
                                <a:xfrm>
                                  <a:off x="0" y="0"/>
                                  <a:ext cx="2971800" cy="1509866"/>
                                </a:xfrm>
                                <a:prstGeom prst="rect">
                                  <a:avLst/>
                                </a:prstGeom>
                                <a:noFill/>
                                <a:ln w="9525">
                                  <a:noFill/>
                                  <a:headEnd/>
                                  <a:tailEnd/>
                                </a:ln>
                              </pic:spPr>
                            </pic:pic>
                          </a:graphicData>
                        </a:graphic>
                      </wp:inline>
                    </w:drawing>
                  </w:r>
                  <w:bookmarkEnd w:id="79"/>
                </w:p>
                <w:p>
                  <w:pPr>
                    <w:jc w:val="center"/>
                    <w:jc w:val="left"/>
                  </w:pPr>
                  <w:pPr>
                    <w:jc w:val="left"/>
                    <w:spacing w:before="200"/>
                    <w:pStyle w:val="ImageCaption"/>
                  </w:pPr>
                  <w:r>
                    <w:t xml:space="preserve">(d)</w:t>
                  </w:r>
                </w:p>
                <w:bookmarkEnd w:id="80"/>
              </w:tc>
            </w:tr>
          </w:tbl>
          <w:p/>
        </w:tc>
      </w:tr>
    </w:tbl>
    <w:p>
      <w:pPr>
        <w:pStyle w:val="BodyText"/>
      </w:pPr>
      <w:pPr>
        <w:spacing w:before="200"/>
        <w:pStyle w:val="ImageCaption"/>
      </w:pPr>
      <w:r>
        <w:t xml:space="preserve">Figure 4: Giant Fiber</w:t>
      </w:r>
    </w:p>
    <w:bookmarkEnd w:id="81"/>
    <w:bookmarkEnd w:id="82"/>
    <w:bookmarkStart w:id="110" w:name="classroom-execution-1"/>
    <w:p>
      <w:pPr>
        <w:pStyle w:val="Heading3"/>
      </w:pPr>
      <w:r>
        <w:t xml:space="preserve">Classroom Execution</w:t>
      </w:r>
    </w:p>
    <w:bookmarkStart w:id="83" w:name="a.-orientation-in-neuroglancer"/>
    <w:p>
      <w:pPr>
        <w:pStyle w:val="Heading4"/>
      </w:pPr>
      <w:r>
        <w:t xml:space="preserve">A. Orientation in Neuroglancer</w:t>
      </w:r>
    </w:p>
    <w:p>
      <w:pPr>
        <w:pStyle w:val="Compact"/>
        <w:numPr>
          <w:ilvl w:val="0"/>
          <w:numId w:val="1013"/>
        </w:numPr>
      </w:pPr>
      <w:r>
        <w:t xml:space="preserve">Open the Neuroglancer link (see</w:t>
      </w:r>
      <w:r>
        <w:t xml:space="preserve"> </w:t>
      </w:r>
      <w:hyperlink w:anchor="fig-neuroglancer-a">
        <w:r>
          <w:rPr>
            <w:rStyle w:val="Hyperlink"/>
          </w:rPr>
          <w:t xml:space="preserve">Figure 5 (a)</w:t>
        </w:r>
      </w:hyperlink>
      <w:r>
        <w:t xml:space="preserve">).</w:t>
      </w:r>
    </w:p>
    <w:p>
      <w:pPr>
        <w:pStyle w:val="Compact"/>
        <w:numPr>
          <w:ilvl w:val="0"/>
          <w:numId w:val="1013"/>
        </w:numPr>
      </w:pPr>
      <w:r>
        <w:t xml:space="preserve">Identify the following elements: Left panel 1</w:t>
      </w:r>
    </w:p>
    <w:p>
      <w:pPr>
        <w:pStyle w:val="Compact"/>
        <w:numPr>
          <w:ilvl w:val="1"/>
          <w:numId w:val="1014"/>
        </w:numPr>
      </w:pPr>
      <w:r>
        <w:rPr>
          <w:b/>
          <w:bCs/>
        </w:rPr>
        <w:t xml:space="preserve">TTMn</w:t>
      </w:r>
      <w:r>
        <w:t xml:space="preserve"> </w:t>
      </w:r>
      <w:r>
        <w:t xml:space="preserve">(motor neuron; typically highlighted in orange)</w:t>
      </w:r>
    </w:p>
    <w:p>
      <w:pPr>
        <w:pStyle w:val="Compact"/>
        <w:numPr>
          <w:ilvl w:val="1"/>
          <w:numId w:val="1014"/>
        </w:numPr>
      </w:pPr>
      <w:r>
        <w:rPr>
          <w:b/>
          <w:bCs/>
        </w:rPr>
        <w:t xml:space="preserve">GF neuron</w:t>
      </w:r>
      <w:r>
        <w:t xml:space="preserve"> </w:t>
      </w:r>
      <w:r>
        <w:t xml:space="preserve">(command neuron; typically highlighted in blue)</w:t>
      </w:r>
    </w:p>
    <w:p>
      <w:pPr>
        <w:pStyle w:val="Compact"/>
        <w:numPr>
          <w:ilvl w:val="1"/>
          <w:numId w:val="1014"/>
        </w:numPr>
      </w:pPr>
      <w:r>
        <w:rPr>
          <w:b/>
          <w:bCs/>
        </w:rPr>
        <w:t xml:space="preserve">Neuropil boundaries</w:t>
      </w:r>
      <w:r>
        <w:t xml:space="preserve">, focusing on the T2 neuromere</w:t>
      </w:r>
    </w:p>
    <w:p>
      <w:pPr>
        <w:pStyle w:val="Compact"/>
        <w:numPr>
          <w:ilvl w:val="1"/>
          <w:numId w:val="1014"/>
        </w:numPr>
      </w:pPr>
      <w:r>
        <w:rPr>
          <w:b/>
          <w:bCs/>
        </w:rPr>
        <w:t xml:space="preserve">Premotor input neurons</w:t>
      </w:r>
      <w:r>
        <w:t xml:space="preserve"> </w:t>
      </w:r>
      <w:r>
        <w:t xml:space="preserve">(loaded from the query dataset)</w:t>
      </w:r>
    </w:p>
    <w:p>
      <w:pPr>
        <w:pStyle w:val="Compact"/>
        <w:numPr>
          <w:ilvl w:val="1"/>
          <w:numId w:val="1014"/>
        </w:numPr>
      </w:pPr>
      <w:r>
        <w:rPr>
          <w:b/>
          <w:bCs/>
        </w:rPr>
        <w:t xml:space="preserve">Hemilineage reference neurons</w:t>
      </w:r>
      <w:r>
        <w:t xml:space="preserve"> </w:t>
      </w:r>
      <w:r>
        <w:t xml:space="preserve">(to evaluate the proportion of a hemilineage that synapses to the TTMn)</w:t>
      </w:r>
    </w:p>
    <w:p>
      <w:pPr>
        <w:pStyle w:val="Compact"/>
        <w:numPr>
          <w:ilvl w:val="0"/>
          <w:numId w:val="1013"/>
        </w:numPr>
      </w:pPr>
      <w:r>
        <w:t xml:space="preserve">Adjust visualization settings:</w:t>
      </w:r>
    </w:p>
    <w:p>
      <w:pPr>
        <w:pStyle w:val="Compact"/>
        <w:numPr>
          <w:ilvl w:val="1"/>
          <w:numId w:val="1015"/>
        </w:numPr>
      </w:pPr>
      <w:r>
        <w:t xml:space="preserve">Left window, eye icon: Toggle layers on/off to isolate specific neuron populations</w:t>
      </w:r>
    </w:p>
    <w:p>
      <w:pPr>
        <w:pStyle w:val="Compact"/>
        <w:numPr>
          <w:ilvl w:val="1"/>
          <w:numId w:val="1015"/>
        </w:numPr>
      </w:pPr>
      <w:r>
        <w:t xml:space="preserve">Right window, Use transparency controls to visualize spatial overlap (see</w:t>
      </w:r>
      <w:r>
        <w:t xml:space="preserve"> </w:t>
      </w:r>
      <w:hyperlink w:anchor="fig-neuroglancer-d">
        <w:r>
          <w:rPr>
            <w:rStyle w:val="Hyperlink"/>
          </w:rPr>
          <w:t xml:space="preserve">Figure 5 (d)</w:t>
        </w:r>
      </w:hyperlink>
      <w:r>
        <w:t xml:space="preserve">)</w:t>
      </w:r>
    </w:p>
    <w:p>
      <w:pPr>
        <w:pStyle w:val="Compact"/>
        <w:numPr>
          <w:ilvl w:val="1"/>
          <w:numId w:val="1015"/>
        </w:numPr>
      </w:pPr>
      <w:r>
        <w:t xml:space="preserve">Rotate to a</w:t>
      </w:r>
      <w:r>
        <w:t xml:space="preserve"> </w:t>
      </w:r>
      <w:r>
        <w:rPr>
          <w:b/>
          <w:bCs/>
        </w:rPr>
        <w:t xml:space="preserve">dorsal view</w:t>
      </w:r>
      <w:r>
        <w:t xml:space="preserve"> </w:t>
      </w:r>
      <w:r>
        <w:t xml:space="preserve">for consistency with Figure 3</w:t>
      </w:r>
    </w:p>
    <w:bookmarkEnd w:id="83"/>
    <w:bookmarkStart w:id="84" w:name="b.-identifying-premotor-inputs"/>
    <w:p>
      <w:pPr>
        <w:pStyle w:val="Heading4"/>
      </w:pPr>
      <w:r>
        <w:t xml:space="preserve">B. Identifying Premotor Inputs</w:t>
      </w:r>
    </w:p>
    <w:p>
      <w:pPr>
        <w:pStyle w:val="Compact"/>
        <w:numPr>
          <w:ilvl w:val="0"/>
          <w:numId w:val="1016"/>
        </w:numPr>
      </w:pPr>
      <w:r>
        <w:t xml:space="preserve">Select individual hemilineage neurons from the dataset layer.</w:t>
      </w:r>
    </w:p>
    <w:p>
      <w:pPr>
        <w:pStyle w:val="Compact"/>
        <w:numPr>
          <w:ilvl w:val="0"/>
          <w:numId w:val="1016"/>
        </w:numPr>
      </w:pPr>
      <w:r>
        <w:t xml:space="preserve">Trace their projections relative to:</w:t>
      </w:r>
    </w:p>
    <w:p>
      <w:pPr>
        <w:pStyle w:val="Compact"/>
        <w:numPr>
          <w:ilvl w:val="1"/>
          <w:numId w:val="1017"/>
        </w:numPr>
      </w:pPr>
      <w:r>
        <w:t xml:space="preserve">The TTMn dendritic field</w:t>
      </w:r>
    </w:p>
    <w:p>
      <w:pPr>
        <w:pStyle w:val="Compact"/>
        <w:numPr>
          <w:ilvl w:val="1"/>
          <w:numId w:val="1017"/>
        </w:numPr>
      </w:pPr>
      <w:r>
        <w:t xml:space="preserve">The GF axon</w:t>
      </w:r>
    </w:p>
    <w:p>
      <w:pPr>
        <w:pStyle w:val="Compact"/>
        <w:numPr>
          <w:ilvl w:val="0"/>
          <w:numId w:val="1016"/>
        </w:numPr>
      </w:pPr>
      <w:r>
        <w:t xml:space="preserve">Use view toggles to:</w:t>
      </w:r>
    </w:p>
    <w:p>
      <w:pPr>
        <w:pStyle w:val="Compact"/>
        <w:numPr>
          <w:ilvl w:val="1"/>
          <w:numId w:val="1018"/>
        </w:numPr>
      </w:pPr>
      <w:r>
        <w:t xml:space="preserve">Highlight synaptic contacts onto the TTMn</w:t>
      </w:r>
    </w:p>
    <w:p>
      <w:pPr>
        <w:pStyle w:val="Compact"/>
        <w:numPr>
          <w:ilvl w:val="1"/>
          <w:numId w:val="1018"/>
        </w:numPr>
      </w:pPr>
      <w:r>
        <w:t xml:space="preserve">Compare morphology across neurons from different hemilineages</w:t>
      </w:r>
    </w:p>
    <w:bookmarkEnd w:id="84"/>
    <w:bookmarkStart w:id="85" w:name="X68aa6e4b9cd49bde0a6ba67ad767c7032643e1b"/>
    <w:p>
      <w:pPr>
        <w:pStyle w:val="Heading4"/>
      </w:pPr>
      <w:r>
        <w:t xml:space="preserve">C. Linking Structure to Hemilineage Identity</w:t>
      </w:r>
    </w:p>
    <w:p>
      <w:pPr>
        <w:pStyle w:val="Compact"/>
        <w:numPr>
          <w:ilvl w:val="0"/>
          <w:numId w:val="1019"/>
        </w:numPr>
      </w:pPr>
      <w:r>
        <w:t xml:space="preserve">Cross-reference selected neurons with</w:t>
      </w:r>
      <w:r>
        <w:t xml:space="preserve"> </w:t>
      </w:r>
      <w:hyperlink w:anchor="tbl-manc-ids">
        <w:r>
          <w:rPr>
            <w:rStyle w:val="Hyperlink"/>
          </w:rPr>
          <w:t xml:space="preserve">Table 3</w:t>
        </w:r>
      </w:hyperlink>
      <w:r>
        <w:t xml:space="preserve">:</w:t>
      </w:r>
    </w:p>
    <w:p>
      <w:pPr>
        <w:pStyle w:val="Compact"/>
        <w:numPr>
          <w:ilvl w:val="1"/>
          <w:numId w:val="1020"/>
        </w:numPr>
      </w:pPr>
      <w:r>
        <w:t xml:space="preserve">Identify their hemilineage assignment</w:t>
      </w:r>
    </w:p>
    <w:p>
      <w:pPr>
        <w:pStyle w:val="Compact"/>
        <w:numPr>
          <w:ilvl w:val="1"/>
          <w:numId w:val="1020"/>
        </w:numPr>
      </w:pPr>
      <w:r>
        <w:t xml:space="preserve">Note synapse counts onto TTMn</w:t>
      </w:r>
    </w:p>
    <w:p>
      <w:pPr>
        <w:pStyle w:val="Compact"/>
        <w:numPr>
          <w:ilvl w:val="1"/>
          <w:numId w:val="1020"/>
        </w:numPr>
      </w:pPr>
      <w:r>
        <w:t xml:space="preserve">Record neurotransmitter identity</w:t>
      </w:r>
    </w:p>
    <w:p>
      <w:pPr>
        <w:pStyle w:val="Compact"/>
        <w:numPr>
          <w:ilvl w:val="0"/>
          <w:numId w:val="1019"/>
        </w:numPr>
      </w:pPr>
      <w:r>
        <w:t xml:space="preserve">For each hemilineage:</w:t>
      </w:r>
    </w:p>
    <w:p>
      <w:pPr>
        <w:pStyle w:val="Compact"/>
        <w:numPr>
          <w:ilvl w:val="1"/>
          <w:numId w:val="1021"/>
        </w:numPr>
      </w:pPr>
      <w:r>
        <w:t xml:space="preserve">Determine how many neurons contribute input to the TTMn</w:t>
      </w:r>
    </w:p>
    <w:p>
      <w:pPr>
        <w:pStyle w:val="Compact"/>
        <w:numPr>
          <w:ilvl w:val="1"/>
          <w:numId w:val="1021"/>
        </w:numPr>
      </w:pPr>
      <w:r>
        <w:t xml:space="preserve">Estimate their relative contribution to total TTMn input</w:t>
      </w:r>
    </w:p>
    <w:bookmarkEnd w:id="85"/>
    <w:bookmarkStart w:id="109" w:name="Xf96a1301568120d17658b577b24244b1d48b450"/>
    <w:p>
      <w:pPr>
        <w:pStyle w:val="Heading4"/>
      </w:pPr>
      <w:r>
        <w:t xml:space="preserve">D. Guided Analysis (connect to main text questions)</w:t>
      </w:r>
    </w:p>
    <w:p>
      <w:pPr>
        <w:pStyle w:val="FirstParagraph"/>
      </w:pPr>
      <w:r>
        <w:t xml:space="preserve">Using the Neuroglancer view and dataset, address the following:</w:t>
      </w:r>
    </w:p>
    <w:p>
      <w:pPr>
        <w:pStyle w:val="Compact"/>
        <w:numPr>
          <w:ilvl w:val="0"/>
          <w:numId w:val="1022"/>
        </w:numPr>
      </w:pPr>
      <w:r>
        <w:t xml:space="preserve">Which hemilineages provide the strongest synaptic input to the TTMn?</w:t>
      </w:r>
    </w:p>
    <w:p>
      <w:pPr>
        <w:pStyle w:val="Compact"/>
        <w:numPr>
          <w:ilvl w:val="0"/>
          <w:numId w:val="1022"/>
        </w:numPr>
      </w:pPr>
      <w:r>
        <w:t xml:space="preserve">Does hemilineage 7B form direct synaptic contacts with the TTMn? Where are these located?</w:t>
      </w:r>
    </w:p>
    <w:p>
      <w:pPr>
        <w:pStyle w:val="Compact"/>
        <w:numPr>
          <w:ilvl w:val="0"/>
          <w:numId w:val="1022"/>
        </w:numPr>
      </w:pPr>
      <w:r>
        <w:t xml:space="preserve">Do neurons from the same hemilineage show similar or diverse morphologies?</w:t>
      </w:r>
    </w:p>
    <w:p>
      <w:pPr>
        <w:pStyle w:val="Compact"/>
        <w:numPr>
          <w:ilvl w:val="0"/>
          <w:numId w:val="1022"/>
        </w:numPr>
      </w:pPr>
      <w:r>
        <w:t xml:space="preserve">How are inputs spatially organized relative to the TTMn dendrites?</w:t>
      </w:r>
    </w:p>
    <w:p>
      <w:pPr>
        <w:pStyle w:val="Compact"/>
        <w:numPr>
          <w:ilvl w:val="0"/>
          <w:numId w:val="1022"/>
        </w:numPr>
      </w:pPr>
      <w:r>
        <w:t xml:space="preserve">Based on neurotransmitter identity, which hemilineages are likely excitatory vs. inhibitory?</w:t>
      </w:r>
    </w:p>
    <w:p>
      <w:pPr>
        <w:pStyle w:val="Compact"/>
        <w:numPr>
          <w:ilvl w:val="0"/>
          <w:numId w:val="1022"/>
        </w:numPr>
      </w:pPr>
      <w:r>
        <w:t xml:space="preserve">How might these chemical inputs interact with the fast electrical GF→TTMn pathway?</w:t>
      </w:r>
    </w:p>
    <w:bookmarkStart w:id="108" w:name="fig-neuroglancer"/>
    <w:tbl>
      <w:tblPr>
        <w:tblStyle w:val="Table"/>
        <w:tblW w:type="pct" w:w="4900"/>
        <w:tblLayout w:type="fixed"/>
        <w:tblLook w:firstRow="0" w:lastRow="0" w:firstColumn="0" w:lastColumn="0" w:noHBand="0" w:noVBand="0" w:val="0000"/>
      </w:tblPr>
      <w:tblGrid>
        <w:gridCol w:w="7761"/>
      </w:tblGrid>
      <w:tr>
        <w:tc>
          <w:tcPr/>
          <w:tbl>
            <w:tblPr>
              <w:tblStyle w:val="Table"/>
              <w:tblW w:type="pct" w:w="4900"/>
              <w:tblLayout w:type="fixed"/>
              <w:tblLook w:firstRow="0" w:lastRow="0" w:firstColumn="0" w:lastColumn="0" w:noHBand="0" w:noVBand="0" w:val="0000"/>
            </w:tblPr>
            <w:tblGrid>
              <w:gridCol w:w="7761"/>
            </w:tblGrid>
            <w:tr>
              <w:tc>
                <w:tcPr/>
                <w:bookmarkStart w:id="89" w:name="fig-neuroglancer-a"/>
                <w:p>
                  <w:pPr>
                    <w:pStyle w:val="Compact"/>
                    <w:jc w:val="center"/>
                    <w:jc w:val="left"/>
                  </w:pPr>
                  <w:r>
                    <w:drawing>
                      <wp:inline>
                        <wp:extent cx="5334000" cy="2667000"/>
                        <wp:effectExtent b="0" l="0" r="0" t="0"/>
                        <wp:docPr descr="" title="" id="87" name="Picture"/>
                        <a:graphic>
                          <a:graphicData uri="http://schemas.openxmlformats.org/drawingml/2006/picture">
                            <pic:pic>
                              <pic:nvPicPr>
                                <pic:cNvPr descr="assets/module01/neuroglancer_a.png" id="88" name="Picture"/>
                                <pic:cNvPicPr>
                                  <a:picLocks noChangeArrowheads="1" noChangeAspect="1"/>
                                </pic:cNvPicPr>
                              </pic:nvPicPr>
                              <pic:blipFill>
                                <a:blip r:embed="rId86"/>
                                <a:stretch>
                                  <a:fillRect/>
                                </a:stretch>
                              </pic:blipFill>
                              <pic:spPr bwMode="auto">
                                <a:xfrm>
                                  <a:off x="0" y="0"/>
                                  <a:ext cx="5334000" cy="2667000"/>
                                </a:xfrm>
                                <a:prstGeom prst="rect">
                                  <a:avLst/>
                                </a:prstGeom>
                                <a:noFill/>
                                <a:ln w="9525">
                                  <a:noFill/>
                                  <a:headEnd/>
                                  <a:tailEnd/>
                                </a:ln>
                              </pic:spPr>
                            </pic:pic>
                          </a:graphicData>
                        </a:graphic>
                      </wp:inline>
                    </w:drawing>
                  </w:r>
                </w:p>
                <w:p>
                  <w:pPr>
                    <w:jc w:val="center"/>
                    <w:jc w:val="left"/>
                  </w:pPr>
                  <w:pPr>
                    <w:jc w:val="left"/>
                    <w:spacing w:before="200"/>
                    <w:pStyle w:val="ImageCaption"/>
                  </w:pPr>
                  <w:r>
                    <w:t xml:space="preserve">(a) Layer control</w:t>
                  </w:r>
                </w:p>
                <w:bookmarkEnd w:id="89"/>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94" w:name="fig-neuroglancer-b"/>
                <w:p>
                  <w:pPr>
                    <w:pStyle w:val="Compact"/>
                    <w:jc w:val="center"/>
                    <w:jc w:val="left"/>
                  </w:pPr>
                  <w:bookmarkStart w:id="93" w:name="fig-neuroglancer-b"/>
                  <w:r>
                    <w:drawing>
                      <wp:inline>
                        <wp:extent cx="2971800" cy="2730341"/>
                        <wp:effectExtent b="0" l="0" r="0" t="0"/>
                        <wp:docPr descr="" title="" id="91" name="Picture"/>
                        <a:graphic>
                          <a:graphicData uri="http://schemas.openxmlformats.org/drawingml/2006/picture">
                            <pic:pic>
                              <pic:nvPicPr>
                                <pic:cNvPr descr="assets/module01/neuroglancer_b.png" id="92" name="Picture"/>
                                <pic:cNvPicPr>
                                  <a:picLocks noChangeArrowheads="1" noChangeAspect="1"/>
                                </pic:cNvPicPr>
                              </pic:nvPicPr>
                              <pic:blipFill>
                                <a:blip r:embed="rId90"/>
                                <a:stretch>
                                  <a:fillRect/>
                                </a:stretch>
                              </pic:blipFill>
                              <pic:spPr bwMode="auto">
                                <a:xfrm>
                                  <a:off x="0" y="0"/>
                                  <a:ext cx="2971800" cy="2730341"/>
                                </a:xfrm>
                                <a:prstGeom prst="rect">
                                  <a:avLst/>
                                </a:prstGeom>
                                <a:noFill/>
                                <a:ln w="9525">
                                  <a:noFill/>
                                  <a:headEnd/>
                                  <a:tailEnd/>
                                </a:ln>
                              </pic:spPr>
                            </pic:pic>
                          </a:graphicData>
                        </a:graphic>
                      </wp:inline>
                    </w:drawing>
                  </w:r>
                  <w:bookmarkEnd w:id="93"/>
                </w:p>
                <w:p>
                  <w:pPr>
                    <w:jc w:val="center"/>
                    <w:jc w:val="left"/>
                  </w:pPr>
                  <w:pPr>
                    <w:jc w:val="left"/>
                    <w:spacing w:before="200"/>
                    <w:pStyle w:val="ImageCaption"/>
                  </w:pPr>
                  <w:r>
                    <w:t xml:space="preserve">(b)</w:t>
                  </w:r>
                </w:p>
                <w:bookmarkEnd w:id="94"/>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99" w:name="fig-neuroglancer-c"/>
                <w:p>
                  <w:pPr>
                    <w:pStyle w:val="Compact"/>
                    <w:jc w:val="center"/>
                    <w:jc w:val="left"/>
                  </w:pPr>
                  <w:bookmarkStart w:id="98" w:name="fig-neuroglancer-c"/>
                  <w:r>
                    <w:drawing>
                      <wp:inline>
                        <wp:extent cx="3968496" cy="2847395"/>
                        <wp:effectExtent b="0" l="0" r="0" t="0"/>
                        <wp:docPr descr="" title="" id="96" name="Picture"/>
                        <a:graphic>
                          <a:graphicData uri="http://schemas.openxmlformats.org/drawingml/2006/picture">
                            <pic:pic>
                              <pic:nvPicPr>
                                <pic:cNvPr descr="assets/module01/neuroglancer_c.png" id="97" name="Picture"/>
                                <pic:cNvPicPr>
                                  <a:picLocks noChangeArrowheads="1" noChangeAspect="1"/>
                                </pic:cNvPicPr>
                              </pic:nvPicPr>
                              <pic:blipFill>
                                <a:blip r:embed="rId95"/>
                                <a:stretch>
                                  <a:fillRect/>
                                </a:stretch>
                              </pic:blipFill>
                              <pic:spPr bwMode="auto">
                                <a:xfrm>
                                  <a:off x="0" y="0"/>
                                  <a:ext cx="3968496" cy="2847395"/>
                                </a:xfrm>
                                <a:prstGeom prst="rect">
                                  <a:avLst/>
                                </a:prstGeom>
                                <a:noFill/>
                                <a:ln w="9525">
                                  <a:noFill/>
                                  <a:headEnd/>
                                  <a:tailEnd/>
                                </a:ln>
                              </pic:spPr>
                            </pic:pic>
                          </a:graphicData>
                        </a:graphic>
                      </wp:inline>
                    </w:drawing>
                  </w:r>
                  <w:bookmarkEnd w:id="98"/>
                </w:p>
                <w:p>
                  <w:pPr>
                    <w:jc w:val="center"/>
                    <w:jc w:val="left"/>
                  </w:pPr>
                  <w:pPr>
                    <w:jc w:val="left"/>
                    <w:spacing w:before="200"/>
                    <w:pStyle w:val="ImageCaption"/>
                  </w:pPr>
                  <w:r>
                    <w:t xml:space="preserve">(c)</w:t>
                  </w:r>
                </w:p>
                <w:bookmarkEnd w:id="99"/>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103" w:name="fig-neuroglancer-d"/>
                <w:p>
                  <w:pPr>
                    <w:pStyle w:val="Compact"/>
                    <w:jc w:val="center"/>
                    <w:jc w:val="left"/>
                  </w:pPr>
                  <w:r>
                    <w:drawing>
                      <wp:inline>
                        <wp:extent cx="3968496" cy="4128474"/>
                        <wp:effectExtent b="0" l="0" r="0" t="0"/>
                        <wp:docPr descr="" title="" id="101" name="Picture"/>
                        <a:graphic>
                          <a:graphicData uri="http://schemas.openxmlformats.org/drawingml/2006/picture">
                            <pic:pic>
                              <pic:nvPicPr>
                                <pic:cNvPr descr="assets/module01/neuroglancer_d.png" id="102" name="Picture"/>
                                <pic:cNvPicPr>
                                  <a:picLocks noChangeArrowheads="1" noChangeAspect="1"/>
                                </pic:cNvPicPr>
                              </pic:nvPicPr>
                              <pic:blipFill>
                                <a:blip r:embed="rId100"/>
                                <a:stretch>
                                  <a:fillRect/>
                                </a:stretch>
                              </pic:blipFill>
                              <pic:spPr bwMode="auto">
                                <a:xfrm>
                                  <a:off x="0" y="0"/>
                                  <a:ext cx="3968496" cy="4128474"/>
                                </a:xfrm>
                                <a:prstGeom prst="rect">
                                  <a:avLst/>
                                </a:prstGeom>
                                <a:noFill/>
                                <a:ln w="9525">
                                  <a:noFill/>
                                  <a:headEnd/>
                                  <a:tailEnd/>
                                </a:ln>
                              </pic:spPr>
                            </pic:pic>
                          </a:graphicData>
                        </a:graphic>
                      </wp:inline>
                    </w:drawing>
                  </w:r>
                </w:p>
                <w:p>
                  <w:pPr>
                    <w:jc w:val="center"/>
                    <w:jc w:val="left"/>
                  </w:pPr>
                  <w:pPr>
                    <w:jc w:val="left"/>
                    <w:spacing w:before="200"/>
                    <w:pStyle w:val="ImageCaption"/>
                  </w:pPr>
                  <w:r>
                    <w:t xml:space="preserve">(d) Render tab</w:t>
                  </w:r>
                </w:p>
                <w:bookmarkEnd w:id="103"/>
              </w:tc>
            </w:tr>
          </w:tbl>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p>
            <w:pPr>
              <w:jc w:val="left"/>
            </w:pPr>
            <w:r>
              <w:t xml:space="preserve"> </w:t>
            </w:r>
          </w:p>
        </w:tc>
        <w:tc>
          <w:tcPr/>
          <w:tbl>
            <w:tblPr>
              <w:tblStyle w:val="Table"/>
              <w:tblW w:type="pct" w:w="4900"/>
              <w:tblLayout w:type="fixed"/>
              <w:tblLook w:firstRow="0" w:lastRow="0" w:firstColumn="0" w:lastColumn="0" w:noHBand="0" w:noVBand="0" w:val="0000"/>
            </w:tblPr>
            <w:tblGrid>
              <w:gridCol w:w="7761"/>
            </w:tblGrid>
            <w:tr>
              <w:tc>
                <w:tcPr/>
                <w:bookmarkStart w:id="107" w:name="fig-neuroglancer-e"/>
                <w:p>
                  <w:pPr>
                    <w:pStyle w:val="Compact"/>
                    <w:jc w:val="center"/>
                    <w:jc w:val="left"/>
                  </w:pPr>
                  <w:r>
                    <w:drawing>
                      <wp:inline>
                        <wp:extent cx="3968496" cy="2683682"/>
                        <wp:effectExtent b="0" l="0" r="0" t="0"/>
                        <wp:docPr descr="" title="" id="105" name="Picture"/>
                        <a:graphic>
                          <a:graphicData uri="http://schemas.openxmlformats.org/drawingml/2006/picture">
                            <pic:pic>
                              <pic:nvPicPr>
                                <pic:cNvPr descr="assets/module01/neuroglancer_e.png" id="106" name="Picture"/>
                                <pic:cNvPicPr>
                                  <a:picLocks noChangeArrowheads="1" noChangeAspect="1"/>
                                </pic:cNvPicPr>
                              </pic:nvPicPr>
                              <pic:blipFill>
                                <a:blip r:embed="rId104"/>
                                <a:stretch>
                                  <a:fillRect/>
                                </a:stretch>
                              </pic:blipFill>
                              <pic:spPr bwMode="auto">
                                <a:xfrm>
                                  <a:off x="0" y="0"/>
                                  <a:ext cx="3968496" cy="2683682"/>
                                </a:xfrm>
                                <a:prstGeom prst="rect">
                                  <a:avLst/>
                                </a:prstGeom>
                                <a:noFill/>
                                <a:ln w="9525">
                                  <a:noFill/>
                                  <a:headEnd/>
                                  <a:tailEnd/>
                                </a:ln>
                              </pic:spPr>
                            </pic:pic>
                          </a:graphicData>
                        </a:graphic>
                      </wp:inline>
                    </w:drawing>
                  </w:r>
                </w:p>
                <w:p>
                  <w:pPr>
                    <w:jc w:val="center"/>
                    <w:jc w:val="left"/>
                  </w:pPr>
                  <w:pPr>
                    <w:jc w:val="left"/>
                    <w:spacing w:before="200"/>
                    <w:pStyle w:val="ImageCaption"/>
                  </w:pPr>
                  <w:r>
                    <w:t xml:space="preserve">(e) Segmentation tab</w:t>
                  </w:r>
                </w:p>
                <w:bookmarkEnd w:id="107"/>
              </w:tc>
            </w:tr>
          </w:tbl>
          <w:p/>
        </w:tc>
      </w:tr>
    </w:tbl>
    <w:p>
      <w:pPr>
        <w:pStyle w:val="BodyText"/>
      </w:pPr>
      <w:pPr>
        <w:spacing w:before="200"/>
        <w:pStyle w:val="ImageCaption"/>
      </w:pPr>
      <w:r>
        <w:t xml:space="preserve">Figure 5: Neuroglancer</w:t>
      </w:r>
    </w:p>
    <w:bookmarkEnd w:id="108"/>
    <w:bookmarkEnd w:id="109"/>
    <w:bookmarkEnd w:id="110"/>
    <w:bookmarkEnd w:id="111"/>
    <w:bookmarkStart w:id="122" w:name="supplements"/>
    <w:p>
      <w:pPr>
        <w:pStyle w:val="Heading2"/>
      </w:pPr>
      <w:r>
        <w:t xml:space="preserve">Supplements</w:t>
      </w:r>
    </w:p>
    <w:bookmarkStart w:id="116" w:name="equipment-list"/>
    <w:p>
      <w:pPr>
        <w:pStyle w:val="Heading3"/>
      </w:pPr>
      <w:r>
        <w:t xml:space="preserve">Equipment List</w:t>
      </w:r>
    </w:p>
    <w:tbl>
      <w:tblPr>
        <w:tblStyle w:val="Table"/>
        <w:tblW w:type="pct" w:w="5000"/>
        <w:tblLayout w:type="fixed"/>
        <w:tblLook w:firstRow="0" w:lastRow="0" w:firstColumn="0" w:lastColumn="0" w:noHBand="0" w:noVBand="0" w:val="0000"/>
      </w:tblPr>
      <w:tblGrid>
        <w:gridCol w:w="7920"/>
      </w:tblGrid>
      <w:tr>
        <w:tc>
          <w:tcPr/>
          <w:bookmarkStart w:id="115" w:name="tbl-equipment"/>
          <w:p>
            <w:pPr>
              <w:jc w:val="center"/>
            </w:pPr>
            <w:pPr>
              <w:jc w:val="left"/>
              <w:spacing w:before="200"/>
              <w:pStyle w:val="ImageCaption"/>
            </w:pPr>
            <w:r>
              <w:t xml:space="preserve">Table 2: Equipment List</w:t>
            </w:r>
          </w:p>
          <w:tbl>
            <w:tblPr>
              <w:tblStyle w:val="Table"/>
              <w:tblW w:type="pct" w:w="5050"/>
              <w:tblLayout w:type="fixed"/>
              <w:tblLook w:firstRow="1" w:lastRow="0" w:firstColumn="0" w:lastColumn="0" w:noHBand="0" w:noVBand="0" w:val="0020"/>
            </w:tblPr>
            <w:tblGrid>
              <w:gridCol w:w="396"/>
              <w:gridCol w:w="3801"/>
              <w:gridCol w:w="2296"/>
              <w:gridCol w:w="1504"/>
            </w:tblGrid>
            <w:tr>
              <w:trPr>
                <w:tblHeader w:val="on"/>
              </w:trPr>
              <w:tc>
                <w:tcPr/>
                <w:p>
                  <w:pPr>
                    <w:pStyle w:val="Compact"/>
                    <w:jc w:val="center"/>
                  </w:pPr>
                  <w:r>
                    <w:t xml:space="preserve">#</w:t>
                  </w:r>
                </w:p>
              </w:tc>
              <w:tc>
                <w:tcPr/>
                <w:p>
                  <w:pPr>
                    <w:pStyle w:val="Compact"/>
                    <w:jc w:val="left"/>
                    <w:jc w:val="center"/>
                  </w:pPr>
                  <w:r>
                    <w:t xml:space="preserve">Description</w:t>
                  </w:r>
                </w:p>
              </w:tc>
              <w:tc>
                <w:tcPr/>
                <w:p>
                  <w:pPr>
                    <w:pStyle w:val="Compact"/>
                    <w:jc w:val="left"/>
                    <w:jc w:val="center"/>
                  </w:pPr>
                  <w:r>
                    <w:t xml:space="preserve">Vendor</w:t>
                  </w:r>
                </w:p>
              </w:tc>
              <w:tc>
                <w:tcPr/>
                <w:p>
                  <w:pPr>
                    <w:pStyle w:val="Compact"/>
                    <w:jc w:val="right"/>
                    <w:jc w:val="center"/>
                  </w:pPr>
                  <w:r>
                    <w:t xml:space="preserve">Price ($)</w:t>
                  </w:r>
                </w:p>
              </w:tc>
            </w:tr>
            <w:tr>
              <w:tc>
                <w:tcPr/>
                <w:p>
                  <w:pPr>
                    <w:pStyle w:val="Compact"/>
                    <w:jc w:val="center"/>
                  </w:pPr>
                  <w:r>
                    <w:t xml:space="preserve">1</w:t>
                  </w:r>
                </w:p>
              </w:tc>
              <w:tc>
                <w:tcPr/>
                <w:p>
                  <w:pPr>
                    <w:pStyle w:val="Compact"/>
                    <w:jc w:val="left"/>
                    <w:jc w:val="center"/>
                  </w:pPr>
                  <w:r>
                    <w:t xml:space="preserve">Red laser Light</w:t>
                  </w:r>
                </w:p>
              </w:tc>
              <w:tc>
                <w:tcPr/>
                <w:p>
                  <w:pPr>
                    <w:pStyle w:val="Compact"/>
                    <w:jc w:val="left"/>
                    <w:jc w:val="center"/>
                  </w:pPr>
                  <w:hyperlink r:id="rId112">
                    <w:r>
                      <w:rPr>
                        <w:rStyle w:val="Hyperlink"/>
                      </w:rPr>
                      <w:t xml:space="preserve">Amazon</w:t>
                    </w:r>
                  </w:hyperlink>
                </w:p>
              </w:tc>
              <w:tc>
                <w:tcPr/>
                <w:p>
                  <w:pPr>
                    <w:pStyle w:val="Compact"/>
                    <w:jc w:val="right"/>
                    <w:jc w:val="center"/>
                  </w:pPr>
                  <w:r>
                    <w:t xml:space="preserve">$16</w:t>
                  </w:r>
                </w:p>
              </w:tc>
            </w:tr>
            <w:tr>
              <w:tc>
                <w:tcPr/>
                <w:p>
                  <w:pPr>
                    <w:pStyle w:val="Compact"/>
                    <w:jc w:val="center"/>
                  </w:pPr>
                  <w:r>
                    <w:t xml:space="preserve">2</w:t>
                  </w:r>
                </w:p>
              </w:tc>
              <w:tc>
                <w:tcPr/>
                <w:p>
                  <w:pPr>
                    <w:pStyle w:val="Compact"/>
                    <w:jc w:val="left"/>
                    <w:jc w:val="center"/>
                  </w:pPr>
                  <w:r>
                    <w:t xml:space="preserve">Petri Dishes</w:t>
                  </w:r>
                </w:p>
              </w:tc>
              <w:tc>
                <w:tcPr/>
                <w:p>
                  <w:pPr>
                    <w:pStyle w:val="Compact"/>
                  </w:pPr>
                </w:p>
              </w:tc>
              <w:tc>
                <w:tcPr/>
                <w:p>
                  <w:pPr>
                    <w:pStyle w:val="Compact"/>
                  </w:pPr>
                </w:p>
              </w:tc>
            </w:tr>
            <w:tr>
              <w:tc>
                <w:tcPr/>
                <w:p>
                  <w:pPr>
                    <w:pStyle w:val="Compact"/>
                    <w:jc w:val="center"/>
                  </w:pPr>
                  <w:r>
                    <w:t xml:space="preserve">3</w:t>
                  </w:r>
                </w:p>
              </w:tc>
              <w:tc>
                <w:tcPr/>
                <w:p>
                  <w:pPr>
                    <w:pStyle w:val="Compact"/>
                    <w:jc w:val="left"/>
                    <w:jc w:val="center"/>
                  </w:pPr>
                  <w:r>
                    <w:t xml:space="preserve">razor blades</w:t>
                  </w:r>
                </w:p>
              </w:tc>
              <w:tc>
                <w:tcPr/>
                <w:p>
                  <w:pPr>
                    <w:pStyle w:val="Compact"/>
                  </w:pPr>
                </w:p>
              </w:tc>
              <w:tc>
                <w:tcPr/>
                <w:p>
                  <w:pPr>
                    <w:pStyle w:val="Compact"/>
                  </w:pPr>
                </w:p>
              </w:tc>
            </w:tr>
            <w:tr>
              <w:tc>
                <w:tcPr/>
                <w:p>
                  <w:pPr>
                    <w:pStyle w:val="Compact"/>
                    <w:jc w:val="center"/>
                  </w:pPr>
                  <w:r>
                    <w:t xml:space="preserve">4</w:t>
                  </w:r>
                </w:p>
              </w:tc>
              <w:tc>
                <w:tcPr/>
                <w:p>
                  <w:pPr>
                    <w:pStyle w:val="Compact"/>
                    <w:jc w:val="left"/>
                    <w:jc w:val="center"/>
                  </w:pPr>
                  <w:r>
                    <w:t xml:space="preserve">Nutrifly (10x 1l) 66-116</w:t>
                  </w:r>
                </w:p>
              </w:tc>
              <w:tc>
                <w:tcPr/>
                <w:p>
                  <w:pPr>
                    <w:pStyle w:val="Compact"/>
                    <w:jc w:val="left"/>
                    <w:jc w:val="center"/>
                  </w:pPr>
                  <w:hyperlink r:id="rId113">
                    <w:r>
                      <w:rPr>
                        <w:rStyle w:val="Hyperlink"/>
                      </w:rPr>
                      <w:t xml:space="preserve">Genesee</w:t>
                    </w:r>
                  </w:hyperlink>
                </w:p>
              </w:tc>
              <w:tc>
                <w:tcPr/>
                <w:p>
                  <w:pPr>
                    <w:pStyle w:val="Compact"/>
                    <w:jc w:val="right"/>
                    <w:jc w:val="center"/>
                  </w:pPr>
                  <w:r>
                    <w:t xml:space="preserve">$147.67</w:t>
                  </w:r>
                </w:p>
              </w:tc>
            </w:tr>
            <w:tr>
              <w:tc>
                <w:tcPr/>
                <w:p>
                  <w:pPr>
                    <w:pStyle w:val="Compact"/>
                    <w:jc w:val="center"/>
                  </w:pPr>
                  <w:r>
                    <w:t xml:space="preserve">5</w:t>
                  </w:r>
                </w:p>
              </w:tc>
              <w:tc>
                <w:tcPr/>
                <w:p>
                  <w:pPr>
                    <w:pStyle w:val="Compact"/>
                    <w:jc w:val="left"/>
                    <w:jc w:val="center"/>
                  </w:pPr>
                  <w:r>
                    <w:t xml:space="preserve">all trans-Retinal 25 mg</w:t>
                  </w:r>
                </w:p>
              </w:tc>
              <w:tc>
                <w:tcPr/>
                <w:p>
                  <w:pPr>
                    <w:pStyle w:val="Compact"/>
                    <w:jc w:val="left"/>
                    <w:jc w:val="center"/>
                  </w:pPr>
                  <w:hyperlink r:id="rId114">
                    <w:r>
                      <w:rPr>
                        <w:rStyle w:val="Hyperlink"/>
                      </w:rPr>
                      <w:t xml:space="preserve">Milipore Sigma</w:t>
                    </w:r>
                  </w:hyperlink>
                </w:p>
              </w:tc>
              <w:tc>
                <w:tcPr/>
                <w:p>
                  <w:pPr>
                    <w:pStyle w:val="Compact"/>
                    <w:jc w:val="right"/>
                    <w:jc w:val="center"/>
                  </w:pPr>
                  <w:r>
                    <w:t xml:space="preserve">$73.2</w:t>
                  </w:r>
                </w:p>
              </w:tc>
            </w:tr>
            <w:tr>
              <w:tc>
                <w:tcPr/>
                <w:p>
                  <w:pPr>
                    <w:pStyle w:val="Compact"/>
                    <w:jc w:val="center"/>
                  </w:pPr>
                  <w:r>
                    <w:t xml:space="preserve">6</w:t>
                  </w:r>
                </w:p>
              </w:tc>
              <w:tc>
                <w:tcPr/>
                <w:p>
                  <w:pPr>
                    <w:pStyle w:val="Compact"/>
                    <w:jc w:val="left"/>
                    <w:jc w:val="center"/>
                  </w:pPr>
                  <w:r>
                    <w:t xml:space="preserve">fly vials</w:t>
                  </w:r>
                </w:p>
              </w:tc>
              <w:tc>
                <w:tcPr/>
                <w:p>
                  <w:pPr>
                    <w:pStyle w:val="Compact"/>
                  </w:pPr>
                </w:p>
              </w:tc>
              <w:tc>
                <w:tcPr/>
                <w:p>
                  <w:pPr>
                    <w:pStyle w:val="Compact"/>
                  </w:pPr>
                </w:p>
              </w:tc>
            </w:tr>
            <w:tr>
              <w:tc>
                <w:tcPr/>
                <w:p>
                  <w:pPr>
                    <w:pStyle w:val="Compact"/>
                    <w:jc w:val="center"/>
                  </w:pPr>
                  <w:r>
                    <w:t xml:space="preserve">7</w:t>
                  </w:r>
                </w:p>
              </w:tc>
              <w:tc>
                <w:tcPr/>
                <w:p>
                  <w:pPr>
                    <w:pStyle w:val="Compact"/>
                    <w:jc w:val="left"/>
                    <w:jc w:val="center"/>
                  </w:pPr>
                  <w:r>
                    <w:t xml:space="preserve">premade fly food</w:t>
                  </w:r>
                </w:p>
              </w:tc>
              <w:tc>
                <w:tcPr/>
                <w:p>
                  <w:pPr>
                    <w:pStyle w:val="Compact"/>
                  </w:pPr>
                </w:p>
              </w:tc>
              <w:tc>
                <w:tcPr/>
                <w:p>
                  <w:pPr>
                    <w:pStyle w:val="Compact"/>
                  </w:pPr>
                </w:p>
              </w:tc>
            </w:tr>
            <w:tr>
              <w:tc>
                <w:tcPr/>
                <w:p>
                  <w:pPr>
                    <w:pStyle w:val="Compact"/>
                    <w:jc w:val="center"/>
                  </w:pPr>
                  <w:r>
                    <w:t xml:space="preserve">8</w:t>
                  </w:r>
                </w:p>
              </w:tc>
              <w:tc>
                <w:tcPr/>
                <w:p>
                  <w:pPr>
                    <w:pStyle w:val="Compact"/>
                    <w:jc w:val="left"/>
                    <w:jc w:val="center"/>
                  </w:pPr>
                  <w:r>
                    <w:t xml:space="preserve">fly nap</w:t>
                  </w:r>
                </w:p>
              </w:tc>
              <w:tc>
                <w:tcPr/>
                <w:p>
                  <w:pPr>
                    <w:pStyle w:val="Compact"/>
                  </w:pPr>
                </w:p>
              </w:tc>
              <w:tc>
                <w:tcPr/>
                <w:p>
                  <w:pPr>
                    <w:pStyle w:val="Compact"/>
                  </w:pPr>
                </w:p>
              </w:tc>
            </w:tr>
          </w:tbl>
          <w:bookmarkEnd w:id="115"/>
          <w:p/>
        </w:tc>
      </w:tr>
    </w:tbl>
    <w:bookmarkEnd w:id="116"/>
    <w:bookmarkStart w:id="121" w:name="hemilineage"/>
    <w:p>
      <w:pPr>
        <w:pStyle w:val="Heading3"/>
      </w:pPr>
      <w:r>
        <w:t xml:space="preserve">Hemilineage</w:t>
      </w:r>
    </w:p>
    <w:tbl>
      <w:tblPr>
        <w:tblStyle w:val="Table"/>
        <w:tblW w:type="pct" w:w="5000"/>
        <w:tblLayout w:type="fixed"/>
        <w:tblLook w:firstRow="0" w:lastRow="0" w:firstColumn="0" w:lastColumn="0" w:noHBand="0" w:noVBand="0" w:val="0000"/>
      </w:tblPr>
      <w:tblGrid>
        <w:gridCol w:w="7920"/>
      </w:tblGrid>
      <w:tr>
        <w:tc>
          <w:tcPr/>
          <w:bookmarkStart w:id="117" w:name="tbl-manc-ids"/>
          <w:p>
            <w:pPr>
              <w:jc w:val="center"/>
            </w:pPr>
            <w:pPr>
              <w:jc w:val="left"/>
              <w:spacing w:before="200"/>
              <w:pStyle w:val="ImageCaption"/>
            </w:pPr>
            <w:r>
              <w:t xml:space="preserve">Table 3: Hemilineage</w:t>
            </w:r>
          </w:p>
          <w:tbl>
            <w:tblPr>
              <w:tblStyle w:val="Table"/>
              <w:tblW w:type="pct" w:w="5000"/>
              <w:tblLayout w:type="fixed"/>
              <w:tblLook w:firstRow="1" w:lastRow="0" w:firstColumn="0" w:lastColumn="0" w:noHBand="0" w:noVBand="0" w:val="0020"/>
            </w:tblPr>
            <w:tblGrid>
              <w:gridCol w:w="792"/>
              <w:gridCol w:w="3564"/>
              <w:gridCol w:w="3564"/>
            </w:tblGrid>
            <w:tr>
              <w:trPr>
                <w:tblHeader w:val="on"/>
              </w:trPr>
              <w:tc>
                <w:tcPr/>
                <w:p>
                  <w:pPr>
                    <w:pStyle w:val="Compact"/>
                    <w:jc w:val="center"/>
                  </w:pPr>
                  <w:r>
                    <w:rPr>
                      <w:b/>
                      <w:bCs/>
                    </w:rPr>
                    <w:t xml:space="preserve">Hemilineage</w:t>
                  </w:r>
                </w:p>
              </w:tc>
              <w:tc>
                <w:tcPr/>
                <w:p>
                  <w:pPr>
                    <w:pStyle w:val="Compact"/>
                    <w:jc w:val="center"/>
                  </w:pPr>
                  <w:r>
                    <w:rPr>
                      <w:b/>
                      <w:bCs/>
                    </w:rPr>
                    <w:t xml:space="preserve">Row Labels</w:t>
                  </w:r>
                </w:p>
              </w:tc>
              <w:tc>
                <w:tcPr/>
                <w:p>
                  <w:pPr>
                    <w:pStyle w:val="Compact"/>
                    <w:jc w:val="center"/>
                  </w:pPr>
                  <w:r>
                    <w:rPr>
                      <w:b/>
                      <w:bCs/>
                    </w:rPr>
                    <w:t xml:space="preserve">Sum of c.weight</w:t>
                  </w:r>
                </w:p>
              </w:tc>
            </w:tr>
            <w:tr>
              <w:tc>
                <w:tcPr/>
                <w:p>
                  <w:pPr>
                    <w:pStyle w:val="Compact"/>
                    <w:jc w:val="center"/>
                  </w:pPr>
                  <w:r>
                    <w:t xml:space="preserve">17A</w:t>
                  </w:r>
                </w:p>
              </w:tc>
              <w:tc>
                <w:tcPr/>
                <w:p>
                  <w:pPr>
                    <w:pStyle w:val="Compact"/>
                    <w:jc w:val="center"/>
                  </w:pPr>
                  <w:r>
                    <w:t xml:space="preserve">11404</w:t>
                  </w:r>
                </w:p>
              </w:tc>
              <w:tc>
                <w:tcPr/>
                <w:p>
                  <w:pPr>
                    <w:pStyle w:val="Compact"/>
                    <w:jc w:val="center"/>
                  </w:pPr>
                  <w:r>
                    <w:t xml:space="preserve">10</w:t>
                  </w:r>
                </w:p>
              </w:tc>
            </w:tr>
            <w:tr>
              <w:tc>
                <w:tcPr/>
                <w:p>
                  <w:pPr>
                    <w:pStyle w:val="Compact"/>
                    <w:jc w:val="center"/>
                  </w:pPr>
                  <w:r>
                    <w:t xml:space="preserve">08A</w:t>
                  </w:r>
                </w:p>
              </w:tc>
              <w:tc>
                <w:tcPr/>
                <w:p>
                  <w:pPr>
                    <w:pStyle w:val="Compact"/>
                    <w:jc w:val="center"/>
                  </w:pPr>
                  <w:r>
                    <w:t xml:space="preserve">22549</w:t>
                  </w:r>
                </w:p>
              </w:tc>
              <w:tc>
                <w:tcPr/>
                <w:p>
                  <w:pPr>
                    <w:pStyle w:val="Compact"/>
                    <w:jc w:val="center"/>
                  </w:pPr>
                  <w:r>
                    <w:t xml:space="preserve">12</w:t>
                  </w:r>
                </w:p>
              </w:tc>
            </w:tr>
            <w:tr>
              <w:tc>
                <w:tcPr/>
                <w:p>
                  <w:pPr>
                    <w:pStyle w:val="Compact"/>
                  </w:pPr>
                </w:p>
              </w:tc>
              <w:tc>
                <w:tcPr/>
                <w:p>
                  <w:pPr>
                    <w:pStyle w:val="Compact"/>
                    <w:jc w:val="center"/>
                  </w:pPr>
                  <w:r>
                    <w:t xml:space="preserve">169711</w:t>
                  </w:r>
                </w:p>
              </w:tc>
              <w:tc>
                <w:tcPr/>
                <w:p>
                  <w:pPr>
                    <w:pStyle w:val="Compact"/>
                    <w:jc w:val="center"/>
                  </w:pPr>
                  <w:r>
                    <w:t xml:space="preserve">10</w:t>
                  </w:r>
                </w:p>
              </w:tc>
            </w:tr>
            <w:tr>
              <w:tc>
                <w:tcPr/>
                <w:p>
                  <w:pPr>
                    <w:pStyle w:val="Compact"/>
                    <w:jc w:val="center"/>
                  </w:pPr>
                  <w:r>
                    <w:t xml:space="preserve">00A</w:t>
                  </w:r>
                </w:p>
              </w:tc>
              <w:tc>
                <w:tcPr/>
                <w:p>
                  <w:pPr>
                    <w:pStyle w:val="Compact"/>
                    <w:jc w:val="center"/>
                  </w:pPr>
                  <w:r>
                    <w:t xml:space="preserve">16388</w:t>
                  </w:r>
                </w:p>
              </w:tc>
              <w:tc>
                <w:tcPr/>
                <w:p>
                  <w:pPr>
                    <w:pStyle w:val="Compact"/>
                    <w:jc w:val="center"/>
                  </w:pPr>
                  <w:r>
                    <w:t xml:space="preserve">15</w:t>
                  </w:r>
                </w:p>
              </w:tc>
            </w:tr>
            <w:tr>
              <w:tc>
                <w:tcPr/>
                <w:p>
                  <w:pPr>
                    <w:pStyle w:val="Compact"/>
                  </w:pPr>
                </w:p>
              </w:tc>
              <w:tc>
                <w:tcPr/>
                <w:p>
                  <w:pPr>
                    <w:pStyle w:val="Compact"/>
                    <w:jc w:val="center"/>
                  </w:pPr>
                  <w:r>
                    <w:t xml:space="preserve">17047</w:t>
                  </w:r>
                </w:p>
              </w:tc>
              <w:tc>
                <w:tcPr/>
                <w:p>
                  <w:pPr>
                    <w:pStyle w:val="Compact"/>
                    <w:jc w:val="center"/>
                  </w:pPr>
                  <w:r>
                    <w:t xml:space="preserve">12</w:t>
                  </w:r>
                </w:p>
              </w:tc>
            </w:tr>
            <w:tr>
              <w:tc>
                <w:tcPr/>
                <w:p>
                  <w:pPr>
                    <w:pStyle w:val="Compact"/>
                    <w:jc w:val="center"/>
                  </w:pPr>
                  <w:r>
                    <w:t xml:space="preserve">12B</w:t>
                  </w:r>
                </w:p>
              </w:tc>
              <w:tc>
                <w:tcPr/>
                <w:p>
                  <w:pPr>
                    <w:pStyle w:val="Compact"/>
                    <w:jc w:val="center"/>
                  </w:pPr>
                  <w:r>
                    <w:t xml:space="preserve">29239</w:t>
                  </w:r>
                </w:p>
              </w:tc>
              <w:tc>
                <w:tcPr/>
                <w:p>
                  <w:pPr>
                    <w:pStyle w:val="Compact"/>
                    <w:jc w:val="center"/>
                  </w:pPr>
                  <w:r>
                    <w:t xml:space="preserve">33</w:t>
                  </w:r>
                </w:p>
              </w:tc>
            </w:tr>
            <w:tr>
              <w:tc>
                <w:tcPr/>
                <w:p>
                  <w:pPr>
                    <w:pStyle w:val="Compact"/>
                    <w:jc w:val="center"/>
                  </w:pPr>
                  <w:r>
                    <w:t xml:space="preserve">06B</w:t>
                  </w:r>
                </w:p>
              </w:tc>
              <w:tc>
                <w:tcPr/>
                <w:p>
                  <w:pPr>
                    <w:pStyle w:val="Compact"/>
                    <w:jc w:val="center"/>
                  </w:pPr>
                  <w:r>
                    <w:t xml:space="preserve">10812</w:t>
                  </w:r>
                </w:p>
              </w:tc>
              <w:tc>
                <w:tcPr/>
                <w:p>
                  <w:pPr>
                    <w:pStyle w:val="Compact"/>
                    <w:jc w:val="center"/>
                  </w:pPr>
                  <w:r>
                    <w:t xml:space="preserve">18</w:t>
                  </w:r>
                </w:p>
              </w:tc>
            </w:tr>
            <w:tr>
              <w:tc>
                <w:tcPr/>
                <w:p>
                  <w:pPr>
                    <w:pStyle w:val="Compact"/>
                  </w:pPr>
                </w:p>
              </w:tc>
              <w:tc>
                <w:tcPr/>
                <w:p>
                  <w:pPr>
                    <w:pStyle w:val="Compact"/>
                    <w:jc w:val="center"/>
                  </w:pPr>
                  <w:r>
                    <w:t xml:space="preserve">11682</w:t>
                  </w:r>
                </w:p>
              </w:tc>
              <w:tc>
                <w:tcPr/>
                <w:p>
                  <w:pPr>
                    <w:pStyle w:val="Compact"/>
                    <w:jc w:val="center"/>
                  </w:pPr>
                  <w:r>
                    <w:t xml:space="preserve">18</w:t>
                  </w:r>
                </w:p>
              </w:tc>
            </w:tr>
            <w:tr>
              <w:tc>
                <w:tcPr/>
                <w:p>
                  <w:pPr>
                    <w:pStyle w:val="Compact"/>
                    <w:jc w:val="center"/>
                  </w:pPr>
                  <w:r>
                    <w:t xml:space="preserve">16B</w:t>
                  </w:r>
                </w:p>
              </w:tc>
              <w:tc>
                <w:tcPr/>
                <w:p>
                  <w:pPr>
                    <w:pStyle w:val="Compact"/>
                    <w:jc w:val="center"/>
                  </w:pPr>
                  <w:r>
                    <w:t xml:space="preserve">14424</w:t>
                  </w:r>
                </w:p>
              </w:tc>
              <w:tc>
                <w:tcPr/>
                <w:p>
                  <w:pPr>
                    <w:pStyle w:val="Compact"/>
                    <w:jc w:val="center"/>
                  </w:pPr>
                  <w:r>
                    <w:t xml:space="preserve">59</w:t>
                  </w:r>
                </w:p>
              </w:tc>
            </w:tr>
            <w:tr>
              <w:tc>
                <w:tcPr/>
                <w:p>
                  <w:pPr>
                    <w:pStyle w:val="Compact"/>
                    <w:jc w:val="center"/>
                  </w:pPr>
                  <w:r>
                    <w:t xml:space="preserve">(blank)</w:t>
                  </w:r>
                </w:p>
              </w:tc>
              <w:tc>
                <w:tcPr/>
                <w:p>
                  <w:pPr>
                    <w:pStyle w:val="Compact"/>
                    <w:jc w:val="center"/>
                  </w:pPr>
                  <w:r>
                    <w:t xml:space="preserve">10000</w:t>
                  </w:r>
                </w:p>
              </w:tc>
              <w:tc>
                <w:tcPr/>
                <w:p>
                  <w:pPr>
                    <w:pStyle w:val="Compact"/>
                    <w:jc w:val="center"/>
                  </w:pPr>
                  <w:r>
                    <w:t xml:space="preserve">146</w:t>
                  </w:r>
                </w:p>
              </w:tc>
            </w:tr>
            <w:tr>
              <w:tc>
                <w:tcPr/>
                <w:p>
                  <w:pPr>
                    <w:pStyle w:val="Compact"/>
                  </w:pPr>
                </w:p>
              </w:tc>
              <w:tc>
                <w:tcPr/>
                <w:p>
                  <w:pPr>
                    <w:pStyle w:val="Compact"/>
                    <w:jc w:val="center"/>
                  </w:pPr>
                  <w:r>
                    <w:t xml:space="preserve">10634</w:t>
                  </w:r>
                </w:p>
              </w:tc>
              <w:tc>
                <w:tcPr/>
                <w:p>
                  <w:pPr>
                    <w:pStyle w:val="Compact"/>
                    <w:jc w:val="center"/>
                  </w:pPr>
                  <w:r>
                    <w:t xml:space="preserve">13</w:t>
                  </w:r>
                </w:p>
              </w:tc>
            </w:tr>
            <w:tr>
              <w:tc>
                <w:tcPr/>
                <w:p>
                  <w:pPr>
                    <w:pStyle w:val="Compact"/>
                  </w:pPr>
                </w:p>
              </w:tc>
              <w:tc>
                <w:tcPr/>
                <w:p>
                  <w:pPr>
                    <w:pStyle w:val="Compact"/>
                    <w:jc w:val="center"/>
                  </w:pPr>
                  <w:r>
                    <w:t xml:space="preserve">24797</w:t>
                  </w:r>
                </w:p>
              </w:tc>
              <w:tc>
                <w:tcPr/>
                <w:p>
                  <w:pPr>
                    <w:pStyle w:val="Compact"/>
                    <w:jc w:val="center"/>
                  </w:pPr>
                  <w:r>
                    <w:t xml:space="preserve">10</w:t>
                  </w:r>
                </w:p>
              </w:tc>
            </w:tr>
            <w:tr>
              <w:tc>
                <w:tcPr/>
                <w:p>
                  <w:pPr>
                    <w:pStyle w:val="Compact"/>
                  </w:pPr>
                </w:p>
              </w:tc>
              <w:tc>
                <w:tcPr/>
                <w:p>
                  <w:pPr>
                    <w:pStyle w:val="Compact"/>
                    <w:jc w:val="center"/>
                  </w:pPr>
                  <w:r>
                    <w:t xml:space="preserve">225692</w:t>
                  </w:r>
                </w:p>
              </w:tc>
              <w:tc>
                <w:tcPr/>
                <w:p>
                  <w:pPr>
                    <w:pStyle w:val="Compact"/>
                    <w:jc w:val="center"/>
                  </w:pPr>
                  <w:r>
                    <w:t xml:space="preserve">12</w:t>
                  </w:r>
                </w:p>
              </w:tc>
            </w:tr>
            <w:tr>
              <w:tc>
                <w:tcPr/>
                <w:p>
                  <w:pPr>
                    <w:pStyle w:val="Compact"/>
                    <w:jc w:val="center"/>
                  </w:pPr>
                  <w:r>
                    <w:t xml:space="preserve">13B</w:t>
                  </w:r>
                </w:p>
              </w:tc>
              <w:tc>
                <w:tcPr/>
                <w:p>
                  <w:pPr>
                    <w:pStyle w:val="Compact"/>
                    <w:jc w:val="center"/>
                  </w:pPr>
                  <w:r>
                    <w:t xml:space="preserve">11111</w:t>
                  </w:r>
                </w:p>
              </w:tc>
              <w:tc>
                <w:tcPr/>
                <w:p>
                  <w:pPr>
                    <w:pStyle w:val="Compact"/>
                    <w:jc w:val="center"/>
                  </w:pPr>
                  <w:r>
                    <w:t xml:space="preserve">161</w:t>
                  </w:r>
                </w:p>
              </w:tc>
            </w:tr>
            <w:tr>
              <w:tc>
                <w:tcPr/>
                <w:p>
                  <w:pPr>
                    <w:pStyle w:val="Compact"/>
                  </w:pPr>
                </w:p>
              </w:tc>
              <w:tc>
                <w:tcPr/>
                <w:p>
                  <w:pPr>
                    <w:pStyle w:val="Compact"/>
                    <w:jc w:val="center"/>
                  </w:pPr>
                  <w:r>
                    <w:t xml:space="preserve">35435</w:t>
                  </w:r>
                </w:p>
              </w:tc>
              <w:tc>
                <w:tcPr/>
                <w:p>
                  <w:pPr>
                    <w:pStyle w:val="Compact"/>
                    <w:jc w:val="center"/>
                  </w:pPr>
                  <w:r>
                    <w:t xml:space="preserve">17</w:t>
                  </w:r>
                </w:p>
              </w:tc>
            </w:tr>
            <w:tr>
              <w:tc>
                <w:tcPr/>
                <w:p>
                  <w:pPr>
                    <w:pStyle w:val="Compact"/>
                  </w:pPr>
                </w:p>
              </w:tc>
              <w:tc>
                <w:tcPr/>
                <w:p>
                  <w:pPr>
                    <w:pStyle w:val="Compact"/>
                    <w:jc w:val="center"/>
                  </w:pPr>
                  <w:r>
                    <w:t xml:space="preserve">156615</w:t>
                  </w:r>
                </w:p>
              </w:tc>
              <w:tc>
                <w:tcPr/>
                <w:p>
                  <w:pPr>
                    <w:pStyle w:val="Compact"/>
                    <w:jc w:val="center"/>
                  </w:pPr>
                  <w:r>
                    <w:t xml:space="preserve">10</w:t>
                  </w:r>
                </w:p>
              </w:tc>
            </w:tr>
            <w:tr>
              <w:tc>
                <w:tcPr/>
                <w:p>
                  <w:pPr>
                    <w:pStyle w:val="Compact"/>
                    <w:jc w:val="center"/>
                  </w:pPr>
                  <w:r>
                    <w:t xml:space="preserve">07B</w:t>
                  </w:r>
                </w:p>
              </w:tc>
              <w:tc>
                <w:tcPr/>
                <w:p>
                  <w:pPr>
                    <w:pStyle w:val="Compact"/>
                    <w:jc w:val="center"/>
                  </w:pPr>
                  <w:r>
                    <w:t xml:space="preserve">14155</w:t>
                  </w:r>
                </w:p>
              </w:tc>
              <w:tc>
                <w:tcPr/>
                <w:p>
                  <w:pPr>
                    <w:pStyle w:val="Compact"/>
                    <w:jc w:val="center"/>
                  </w:pPr>
                  <w:r>
                    <w:t xml:space="preserve">59</w:t>
                  </w:r>
                </w:p>
              </w:tc>
            </w:tr>
            <w:tr>
              <w:tc>
                <w:tcPr/>
                <w:p>
                  <w:pPr>
                    <w:pStyle w:val="Compact"/>
                  </w:pPr>
                </w:p>
              </w:tc>
              <w:tc>
                <w:tcPr/>
                <w:p>
                  <w:pPr>
                    <w:pStyle w:val="Compact"/>
                    <w:jc w:val="center"/>
                  </w:pPr>
                  <w:r>
                    <w:t xml:space="preserve">16174</w:t>
                  </w:r>
                </w:p>
              </w:tc>
              <w:tc>
                <w:tcPr/>
                <w:p>
                  <w:pPr>
                    <w:pStyle w:val="Compact"/>
                    <w:jc w:val="center"/>
                  </w:pPr>
                  <w:r>
                    <w:t xml:space="preserve">34</w:t>
                  </w:r>
                </w:p>
              </w:tc>
            </w:tr>
            <w:tr>
              <w:tc>
                <w:tcPr/>
                <w:p>
                  <w:pPr>
                    <w:pStyle w:val="Compact"/>
                  </w:pPr>
                </w:p>
              </w:tc>
              <w:tc>
                <w:tcPr/>
                <w:p>
                  <w:pPr>
                    <w:pStyle w:val="Compact"/>
                    <w:jc w:val="center"/>
                  </w:pPr>
                  <w:r>
                    <w:t xml:space="preserve">16544</w:t>
                  </w:r>
                </w:p>
              </w:tc>
              <w:tc>
                <w:tcPr/>
                <w:p>
                  <w:pPr>
                    <w:pStyle w:val="Compact"/>
                    <w:jc w:val="center"/>
                  </w:pPr>
                  <w:r>
                    <w:t xml:space="preserve">45</w:t>
                  </w:r>
                </w:p>
              </w:tc>
            </w:tr>
            <w:tr>
              <w:tc>
                <w:tcPr/>
                <w:p>
                  <w:pPr>
                    <w:pStyle w:val="Compact"/>
                  </w:pPr>
                </w:p>
              </w:tc>
              <w:tc>
                <w:tcPr/>
                <w:p>
                  <w:pPr>
                    <w:pStyle w:val="Compact"/>
                    <w:jc w:val="center"/>
                  </w:pPr>
                  <w:r>
                    <w:t xml:space="preserve">18516</w:t>
                  </w:r>
                </w:p>
              </w:tc>
              <w:tc>
                <w:tcPr/>
                <w:p>
                  <w:pPr>
                    <w:pStyle w:val="Compact"/>
                    <w:jc w:val="center"/>
                  </w:pPr>
                  <w:r>
                    <w:t xml:space="preserve">23</w:t>
                  </w:r>
                </w:p>
              </w:tc>
            </w:tr>
            <w:tr>
              <w:tc>
                <w:tcPr/>
                <w:p>
                  <w:pPr>
                    <w:pStyle w:val="Compact"/>
                  </w:pPr>
                </w:p>
              </w:tc>
              <w:tc>
                <w:tcPr/>
                <w:p>
                  <w:pPr>
                    <w:pStyle w:val="Compact"/>
                    <w:jc w:val="center"/>
                  </w:pPr>
                  <w:r>
                    <w:t xml:space="preserve">20588</w:t>
                  </w:r>
                </w:p>
              </w:tc>
              <w:tc>
                <w:tcPr/>
                <w:p>
                  <w:pPr>
                    <w:pStyle w:val="Compact"/>
                    <w:jc w:val="center"/>
                  </w:pPr>
                  <w:r>
                    <w:t xml:space="preserve">47</w:t>
                  </w:r>
                </w:p>
              </w:tc>
            </w:tr>
            <w:tr>
              <w:tc>
                <w:tcPr/>
                <w:p>
                  <w:pPr>
                    <w:pStyle w:val="Compact"/>
                  </w:pPr>
                </w:p>
              </w:tc>
              <w:tc>
                <w:tcPr/>
                <w:p>
                  <w:pPr>
                    <w:pStyle w:val="Compact"/>
                    <w:jc w:val="center"/>
                  </w:pPr>
                  <w:r>
                    <w:t xml:space="preserve">101550</w:t>
                  </w:r>
                </w:p>
              </w:tc>
              <w:tc>
                <w:tcPr/>
                <w:p>
                  <w:pPr>
                    <w:pStyle w:val="Compact"/>
                    <w:jc w:val="center"/>
                  </w:pPr>
                  <w:r>
                    <w:t xml:space="preserve">40</w:t>
                  </w:r>
                </w:p>
              </w:tc>
            </w:tr>
            <w:tr>
              <w:tc>
                <w:tcPr/>
                <w:p>
                  <w:pPr>
                    <w:pStyle w:val="Compact"/>
                    <w:jc w:val="center"/>
                  </w:pPr>
                  <w:r>
                    <w:t xml:space="preserve">20A.22A</w:t>
                  </w:r>
                </w:p>
              </w:tc>
              <w:tc>
                <w:tcPr/>
                <w:p>
                  <w:pPr>
                    <w:pStyle w:val="Compact"/>
                    <w:jc w:val="center"/>
                  </w:pPr>
                  <w:r>
                    <w:t xml:space="preserve">11530</w:t>
                  </w:r>
                </w:p>
              </w:tc>
              <w:tc>
                <w:tcPr/>
                <w:p>
                  <w:pPr>
                    <w:pStyle w:val="Compact"/>
                    <w:jc w:val="center"/>
                  </w:pPr>
                  <w:r>
                    <w:t xml:space="preserve">86</w:t>
                  </w:r>
                </w:p>
              </w:tc>
            </w:tr>
            <w:tr>
              <w:tc>
                <w:tcPr/>
                <w:p>
                  <w:pPr>
                    <w:pStyle w:val="Compact"/>
                  </w:pPr>
                </w:p>
              </w:tc>
              <w:tc>
                <w:tcPr/>
                <w:p>
                  <w:pPr>
                    <w:pStyle w:val="Compact"/>
                    <w:jc w:val="center"/>
                  </w:pPr>
                  <w:r>
                    <w:t xml:space="preserve">11877</w:t>
                  </w:r>
                </w:p>
              </w:tc>
              <w:tc>
                <w:tcPr/>
                <w:p>
                  <w:pPr>
                    <w:pStyle w:val="Compact"/>
                    <w:jc w:val="center"/>
                  </w:pPr>
                  <w:r>
                    <w:t xml:space="preserve">102</w:t>
                  </w:r>
                </w:p>
              </w:tc>
            </w:tr>
            <w:tr>
              <w:tc>
                <w:tcPr/>
                <w:p>
                  <w:pPr>
                    <w:pStyle w:val="Compact"/>
                  </w:pPr>
                </w:p>
              </w:tc>
              <w:tc>
                <w:tcPr/>
                <w:p>
                  <w:pPr>
                    <w:pStyle w:val="Compact"/>
                    <w:jc w:val="center"/>
                  </w:pPr>
                  <w:r>
                    <w:t xml:space="preserve">13081</w:t>
                  </w:r>
                </w:p>
              </w:tc>
              <w:tc>
                <w:tcPr/>
                <w:p>
                  <w:pPr>
                    <w:pStyle w:val="Compact"/>
                    <w:jc w:val="center"/>
                  </w:pPr>
                  <w:r>
                    <w:t xml:space="preserve">58</w:t>
                  </w:r>
                </w:p>
              </w:tc>
            </w:tr>
            <w:tr>
              <w:tc>
                <w:tcPr/>
                <w:p>
                  <w:pPr>
                    <w:pStyle w:val="Compact"/>
                  </w:pPr>
                </w:p>
              </w:tc>
              <w:tc>
                <w:tcPr/>
                <w:p>
                  <w:pPr>
                    <w:pStyle w:val="Compact"/>
                    <w:jc w:val="center"/>
                  </w:pPr>
                  <w:r>
                    <w:t xml:space="preserve">16156</w:t>
                  </w:r>
                </w:p>
              </w:tc>
              <w:tc>
                <w:tcPr/>
                <w:p>
                  <w:pPr>
                    <w:pStyle w:val="Compact"/>
                    <w:jc w:val="center"/>
                  </w:pPr>
                  <w:r>
                    <w:t xml:space="preserve">10</w:t>
                  </w:r>
                </w:p>
              </w:tc>
            </w:tr>
            <w:tr>
              <w:tc>
                <w:tcPr/>
                <w:p>
                  <w:pPr>
                    <w:pStyle w:val="Compact"/>
                    <w:jc w:val="center"/>
                  </w:pPr>
                  <w:r>
                    <w:t xml:space="preserve">04B</w:t>
                  </w:r>
                </w:p>
              </w:tc>
              <w:tc>
                <w:tcPr/>
                <w:p>
                  <w:pPr>
                    <w:pStyle w:val="Compact"/>
                    <w:jc w:val="center"/>
                  </w:pPr>
                  <w:r>
                    <w:t xml:space="preserve">15036</w:t>
                  </w:r>
                </w:p>
              </w:tc>
              <w:tc>
                <w:tcPr/>
                <w:p>
                  <w:pPr>
                    <w:pStyle w:val="Compact"/>
                    <w:jc w:val="center"/>
                  </w:pPr>
                  <w:r>
                    <w:t xml:space="preserve">58</w:t>
                  </w:r>
                </w:p>
              </w:tc>
            </w:tr>
            <w:tr>
              <w:tc>
                <w:tcPr/>
                <w:p>
                  <w:pPr>
                    <w:pStyle w:val="Compact"/>
                  </w:pPr>
                </w:p>
              </w:tc>
              <w:tc>
                <w:tcPr/>
                <w:p>
                  <w:pPr>
                    <w:pStyle w:val="Compact"/>
                    <w:jc w:val="center"/>
                  </w:pPr>
                  <w:r>
                    <w:t xml:space="preserve">16171</w:t>
                  </w:r>
                </w:p>
              </w:tc>
              <w:tc>
                <w:tcPr/>
                <w:p>
                  <w:pPr>
                    <w:pStyle w:val="Compact"/>
                    <w:jc w:val="center"/>
                  </w:pPr>
                  <w:r>
                    <w:t xml:space="preserve">13</w:t>
                  </w:r>
                </w:p>
              </w:tc>
            </w:tr>
            <w:tr>
              <w:tc>
                <w:tcPr/>
                <w:p>
                  <w:pPr>
                    <w:pStyle w:val="Compact"/>
                  </w:pPr>
                </w:p>
              </w:tc>
              <w:tc>
                <w:tcPr/>
                <w:p>
                  <w:pPr>
                    <w:pStyle w:val="Compact"/>
                    <w:jc w:val="center"/>
                  </w:pPr>
                  <w:r>
                    <w:t xml:space="preserve">16530</w:t>
                  </w:r>
                </w:p>
              </w:tc>
              <w:tc>
                <w:tcPr/>
                <w:p>
                  <w:pPr>
                    <w:pStyle w:val="Compact"/>
                    <w:jc w:val="center"/>
                  </w:pPr>
                  <w:r>
                    <w:t xml:space="preserve">23</w:t>
                  </w:r>
                </w:p>
              </w:tc>
            </w:tr>
            <w:tr>
              <w:tc>
                <w:tcPr/>
                <w:p>
                  <w:pPr>
                    <w:pStyle w:val="Compact"/>
                  </w:pPr>
                </w:p>
              </w:tc>
              <w:tc>
                <w:tcPr/>
                <w:p>
                  <w:pPr>
                    <w:pStyle w:val="Compact"/>
                    <w:jc w:val="center"/>
                  </w:pPr>
                  <w:r>
                    <w:t xml:space="preserve">16640</w:t>
                  </w:r>
                </w:p>
              </w:tc>
              <w:tc>
                <w:tcPr/>
                <w:p>
                  <w:pPr>
                    <w:pStyle w:val="Compact"/>
                    <w:jc w:val="center"/>
                  </w:pPr>
                  <w:r>
                    <w:t xml:space="preserve">31</w:t>
                  </w:r>
                </w:p>
              </w:tc>
            </w:tr>
            <w:tr>
              <w:tc>
                <w:tcPr/>
                <w:p>
                  <w:pPr>
                    <w:pStyle w:val="Compact"/>
                  </w:pPr>
                </w:p>
              </w:tc>
              <w:tc>
                <w:tcPr/>
                <w:p>
                  <w:pPr>
                    <w:pStyle w:val="Compact"/>
                    <w:jc w:val="center"/>
                  </w:pPr>
                  <w:r>
                    <w:t xml:space="preserve">16772</w:t>
                  </w:r>
                </w:p>
              </w:tc>
              <w:tc>
                <w:tcPr/>
                <w:p>
                  <w:pPr>
                    <w:pStyle w:val="Compact"/>
                    <w:jc w:val="center"/>
                  </w:pPr>
                  <w:r>
                    <w:t xml:space="preserve">26</w:t>
                  </w:r>
                </w:p>
              </w:tc>
            </w:tr>
            <w:tr>
              <w:tc>
                <w:tcPr/>
                <w:p>
                  <w:pPr>
                    <w:pStyle w:val="Compact"/>
                  </w:pPr>
                </w:p>
              </w:tc>
              <w:tc>
                <w:tcPr/>
                <w:p>
                  <w:pPr>
                    <w:pStyle w:val="Compact"/>
                    <w:jc w:val="center"/>
                  </w:pPr>
                  <w:r>
                    <w:t xml:space="preserve">19473</w:t>
                  </w:r>
                </w:p>
              </w:tc>
              <w:tc>
                <w:tcPr/>
                <w:p>
                  <w:pPr>
                    <w:pStyle w:val="Compact"/>
                    <w:jc w:val="center"/>
                  </w:pPr>
                  <w:r>
                    <w:t xml:space="preserve">35</w:t>
                  </w:r>
                </w:p>
              </w:tc>
            </w:tr>
            <w:tr>
              <w:tc>
                <w:tcPr/>
                <w:p>
                  <w:pPr>
                    <w:pStyle w:val="Compact"/>
                  </w:pPr>
                </w:p>
              </w:tc>
              <w:tc>
                <w:tcPr/>
                <w:p>
                  <w:pPr>
                    <w:pStyle w:val="Compact"/>
                    <w:jc w:val="center"/>
                  </w:pPr>
                  <w:r>
                    <w:t xml:space="preserve">21464</w:t>
                  </w:r>
                </w:p>
              </w:tc>
              <w:tc>
                <w:tcPr/>
                <w:p>
                  <w:pPr>
                    <w:pStyle w:val="Compact"/>
                    <w:jc w:val="center"/>
                  </w:pPr>
                  <w:r>
                    <w:t xml:space="preserve">14</w:t>
                  </w:r>
                </w:p>
              </w:tc>
            </w:tr>
            <w:tr>
              <w:tc>
                <w:tcPr/>
                <w:p>
                  <w:pPr>
                    <w:pStyle w:val="Compact"/>
                  </w:pPr>
                </w:p>
              </w:tc>
              <w:tc>
                <w:tcPr/>
                <w:p>
                  <w:pPr>
                    <w:pStyle w:val="Compact"/>
                    <w:jc w:val="center"/>
                  </w:pPr>
                  <w:r>
                    <w:t xml:space="preserve">22299</w:t>
                  </w:r>
                </w:p>
              </w:tc>
              <w:tc>
                <w:tcPr/>
                <w:p>
                  <w:pPr>
                    <w:pStyle w:val="Compact"/>
                    <w:jc w:val="center"/>
                  </w:pPr>
                  <w:r>
                    <w:t xml:space="preserve">21</w:t>
                  </w:r>
                </w:p>
              </w:tc>
            </w:tr>
            <w:tr>
              <w:tc>
                <w:tcPr/>
                <w:p>
                  <w:pPr>
                    <w:pStyle w:val="Compact"/>
                  </w:pPr>
                </w:p>
              </w:tc>
              <w:tc>
                <w:tcPr/>
                <w:p>
                  <w:pPr>
                    <w:pStyle w:val="Compact"/>
                    <w:jc w:val="center"/>
                  </w:pPr>
                  <w:r>
                    <w:t xml:space="preserve">101891</w:t>
                  </w:r>
                </w:p>
              </w:tc>
              <w:tc>
                <w:tcPr/>
                <w:p>
                  <w:pPr>
                    <w:pStyle w:val="Compact"/>
                    <w:jc w:val="center"/>
                  </w:pPr>
                  <w:r>
                    <w:t xml:space="preserve">37</w:t>
                  </w:r>
                </w:p>
              </w:tc>
            </w:tr>
            <w:tr>
              <w:tc>
                <w:tcPr/>
                <w:p>
                  <w:pPr>
                    <w:pStyle w:val="Compact"/>
                    <w:jc w:val="center"/>
                  </w:pPr>
                  <w:r>
                    <w:t xml:space="preserve">18B</w:t>
                  </w:r>
                </w:p>
              </w:tc>
              <w:tc>
                <w:tcPr/>
                <w:p>
                  <w:pPr>
                    <w:pStyle w:val="Compact"/>
                    <w:jc w:val="center"/>
                  </w:pPr>
                  <w:r>
                    <w:t xml:space="preserve">13645</w:t>
                  </w:r>
                </w:p>
              </w:tc>
              <w:tc>
                <w:tcPr/>
                <w:p>
                  <w:pPr>
                    <w:pStyle w:val="Compact"/>
                    <w:jc w:val="center"/>
                  </w:pPr>
                  <w:r>
                    <w:t xml:space="preserve">26</w:t>
                  </w:r>
                </w:p>
              </w:tc>
            </w:tr>
            <w:tr>
              <w:tc>
                <w:tcPr/>
                <w:p>
                  <w:pPr>
                    <w:pStyle w:val="Compact"/>
                  </w:pPr>
                </w:p>
              </w:tc>
              <w:tc>
                <w:tcPr/>
                <w:p>
                  <w:pPr>
                    <w:pStyle w:val="Compact"/>
                    <w:jc w:val="center"/>
                  </w:pPr>
                  <w:r>
                    <w:t xml:space="preserve">13846</w:t>
                  </w:r>
                </w:p>
              </w:tc>
              <w:tc>
                <w:tcPr/>
                <w:p>
                  <w:pPr>
                    <w:pStyle w:val="Compact"/>
                    <w:jc w:val="center"/>
                  </w:pPr>
                  <w:r>
                    <w:t xml:space="preserve">156</w:t>
                  </w:r>
                </w:p>
              </w:tc>
            </w:tr>
            <w:tr>
              <w:tc>
                <w:tcPr/>
                <w:p>
                  <w:pPr>
                    <w:pStyle w:val="Compact"/>
                  </w:pPr>
                </w:p>
              </w:tc>
              <w:tc>
                <w:tcPr/>
                <w:p>
                  <w:pPr>
                    <w:pStyle w:val="Compact"/>
                    <w:jc w:val="center"/>
                  </w:pPr>
                  <w:r>
                    <w:t xml:space="preserve">14882</w:t>
                  </w:r>
                </w:p>
              </w:tc>
              <w:tc>
                <w:tcPr/>
                <w:p>
                  <w:pPr>
                    <w:pStyle w:val="Compact"/>
                    <w:jc w:val="center"/>
                  </w:pPr>
                  <w:r>
                    <w:t xml:space="preserve">22</w:t>
                  </w:r>
                </w:p>
              </w:tc>
            </w:tr>
            <w:tr>
              <w:tc>
                <w:tcPr/>
                <w:p>
                  <w:pPr>
                    <w:pStyle w:val="Compact"/>
                  </w:pPr>
                </w:p>
              </w:tc>
              <w:tc>
                <w:tcPr/>
                <w:p>
                  <w:pPr>
                    <w:pStyle w:val="Compact"/>
                    <w:jc w:val="center"/>
                  </w:pPr>
                  <w:r>
                    <w:t xml:space="preserve">17245</w:t>
                  </w:r>
                </w:p>
              </w:tc>
              <w:tc>
                <w:tcPr/>
                <w:p>
                  <w:pPr>
                    <w:pStyle w:val="Compact"/>
                    <w:jc w:val="center"/>
                  </w:pPr>
                  <w:r>
                    <w:t xml:space="preserve">21</w:t>
                  </w:r>
                </w:p>
              </w:tc>
            </w:tr>
            <w:tr>
              <w:tc>
                <w:tcPr/>
                <w:p>
                  <w:pPr>
                    <w:pStyle w:val="Compact"/>
                  </w:pPr>
                </w:p>
              </w:tc>
              <w:tc>
                <w:tcPr/>
                <w:p>
                  <w:pPr>
                    <w:pStyle w:val="Compact"/>
                    <w:jc w:val="center"/>
                  </w:pPr>
                  <w:r>
                    <w:t xml:space="preserve">17824</w:t>
                  </w:r>
                </w:p>
              </w:tc>
              <w:tc>
                <w:tcPr/>
                <w:p>
                  <w:pPr>
                    <w:pStyle w:val="Compact"/>
                    <w:jc w:val="center"/>
                  </w:pPr>
                  <w:r>
                    <w:t xml:space="preserve">10</w:t>
                  </w:r>
                </w:p>
              </w:tc>
            </w:tr>
            <w:tr>
              <w:tc>
                <w:tcPr/>
                <w:p>
                  <w:pPr>
                    <w:pStyle w:val="Compact"/>
                  </w:pPr>
                </w:p>
              </w:tc>
              <w:tc>
                <w:tcPr/>
                <w:p>
                  <w:pPr>
                    <w:pStyle w:val="Compact"/>
                    <w:jc w:val="center"/>
                  </w:pPr>
                  <w:r>
                    <w:t xml:space="preserve">18131</w:t>
                  </w:r>
                </w:p>
              </w:tc>
              <w:tc>
                <w:tcPr/>
                <w:p>
                  <w:pPr>
                    <w:pStyle w:val="Compact"/>
                    <w:jc w:val="center"/>
                  </w:pPr>
                  <w:r>
                    <w:t xml:space="preserve">14</w:t>
                  </w:r>
                </w:p>
              </w:tc>
            </w:tr>
            <w:tr>
              <w:tc>
                <w:tcPr/>
                <w:p>
                  <w:pPr>
                    <w:pStyle w:val="Compact"/>
                  </w:pPr>
                </w:p>
              </w:tc>
              <w:tc>
                <w:tcPr/>
                <w:p>
                  <w:pPr>
                    <w:pStyle w:val="Compact"/>
                    <w:jc w:val="center"/>
                  </w:pPr>
                  <w:r>
                    <w:t xml:space="preserve">21171</w:t>
                  </w:r>
                </w:p>
              </w:tc>
              <w:tc>
                <w:tcPr/>
                <w:p>
                  <w:pPr>
                    <w:pStyle w:val="Compact"/>
                    <w:jc w:val="center"/>
                  </w:pPr>
                  <w:r>
                    <w:t xml:space="preserve">22</w:t>
                  </w:r>
                </w:p>
              </w:tc>
            </w:tr>
            <w:tr>
              <w:tc>
                <w:tcPr/>
                <w:p>
                  <w:pPr>
                    <w:pStyle w:val="Compact"/>
                    <w:jc w:val="center"/>
                  </w:pPr>
                  <w:r>
                    <w:t xml:space="preserve">21A</w:t>
                  </w:r>
                </w:p>
              </w:tc>
              <w:tc>
                <w:tcPr/>
                <w:p>
                  <w:pPr>
                    <w:pStyle w:val="Compact"/>
                    <w:jc w:val="center"/>
                  </w:pPr>
                  <w:r>
                    <w:t xml:space="preserve">15336</w:t>
                  </w:r>
                </w:p>
              </w:tc>
              <w:tc>
                <w:tcPr/>
                <w:p>
                  <w:pPr>
                    <w:pStyle w:val="Compact"/>
                    <w:jc w:val="center"/>
                  </w:pPr>
                  <w:r>
                    <w:t xml:space="preserve">75</w:t>
                  </w:r>
                </w:p>
              </w:tc>
            </w:tr>
            <w:tr>
              <w:tc>
                <w:tcPr/>
                <w:p>
                  <w:pPr>
                    <w:pStyle w:val="Compact"/>
                  </w:pPr>
                </w:p>
              </w:tc>
              <w:tc>
                <w:tcPr/>
                <w:p>
                  <w:pPr>
                    <w:pStyle w:val="Compact"/>
                    <w:jc w:val="center"/>
                  </w:pPr>
                  <w:r>
                    <w:t xml:space="preserve">16186</w:t>
                  </w:r>
                </w:p>
              </w:tc>
              <w:tc>
                <w:tcPr/>
                <w:p>
                  <w:pPr>
                    <w:pStyle w:val="Compact"/>
                    <w:jc w:val="center"/>
                  </w:pPr>
                  <w:r>
                    <w:t xml:space="preserve">97</w:t>
                  </w:r>
                </w:p>
              </w:tc>
            </w:tr>
            <w:tr>
              <w:tc>
                <w:tcPr/>
                <w:p>
                  <w:pPr>
                    <w:pStyle w:val="Compact"/>
                  </w:pPr>
                </w:p>
              </w:tc>
              <w:tc>
                <w:tcPr/>
                <w:p>
                  <w:pPr>
                    <w:pStyle w:val="Compact"/>
                    <w:jc w:val="center"/>
                  </w:pPr>
                  <w:r>
                    <w:t xml:space="preserve">16427</w:t>
                  </w:r>
                </w:p>
              </w:tc>
              <w:tc>
                <w:tcPr/>
                <w:p>
                  <w:pPr>
                    <w:pStyle w:val="Compact"/>
                    <w:jc w:val="center"/>
                  </w:pPr>
                  <w:r>
                    <w:t xml:space="preserve">12</w:t>
                  </w:r>
                </w:p>
              </w:tc>
            </w:tr>
            <w:tr>
              <w:tc>
                <w:tcPr/>
                <w:p>
                  <w:pPr>
                    <w:pStyle w:val="Compact"/>
                  </w:pPr>
                </w:p>
              </w:tc>
              <w:tc>
                <w:tcPr/>
                <w:p>
                  <w:pPr>
                    <w:pStyle w:val="Compact"/>
                    <w:jc w:val="center"/>
                  </w:pPr>
                  <w:r>
                    <w:t xml:space="preserve">17013</w:t>
                  </w:r>
                </w:p>
              </w:tc>
              <w:tc>
                <w:tcPr/>
                <w:p>
                  <w:pPr>
                    <w:pStyle w:val="Compact"/>
                    <w:jc w:val="center"/>
                  </w:pPr>
                  <w:r>
                    <w:t xml:space="preserve">139</w:t>
                  </w:r>
                </w:p>
              </w:tc>
            </w:tr>
            <w:tr>
              <w:tc>
                <w:tcPr/>
                <w:p>
                  <w:pPr>
                    <w:pStyle w:val="Compact"/>
                  </w:pPr>
                </w:p>
              </w:tc>
              <w:tc>
                <w:tcPr/>
                <w:p>
                  <w:pPr>
                    <w:pStyle w:val="Compact"/>
                    <w:jc w:val="center"/>
                  </w:pPr>
                  <w:r>
                    <w:t xml:space="preserve">17073</w:t>
                  </w:r>
                </w:p>
              </w:tc>
              <w:tc>
                <w:tcPr/>
                <w:p>
                  <w:pPr>
                    <w:pStyle w:val="Compact"/>
                    <w:jc w:val="center"/>
                  </w:pPr>
                  <w:r>
                    <w:t xml:space="preserve">167</w:t>
                  </w:r>
                </w:p>
              </w:tc>
            </w:tr>
            <w:tr>
              <w:tc>
                <w:tcPr/>
                <w:p>
                  <w:pPr>
                    <w:pStyle w:val="Compact"/>
                  </w:pPr>
                </w:p>
              </w:tc>
              <w:tc>
                <w:tcPr/>
                <w:p>
                  <w:pPr>
                    <w:pStyle w:val="Compact"/>
                    <w:jc w:val="center"/>
                  </w:pPr>
                  <w:r>
                    <w:t xml:space="preserve">17558</w:t>
                  </w:r>
                </w:p>
              </w:tc>
              <w:tc>
                <w:tcPr/>
                <w:p>
                  <w:pPr>
                    <w:pStyle w:val="Compact"/>
                    <w:jc w:val="center"/>
                  </w:pPr>
                  <w:r>
                    <w:t xml:space="preserve">30</w:t>
                  </w:r>
                </w:p>
              </w:tc>
            </w:tr>
            <w:tr>
              <w:tc>
                <w:tcPr/>
                <w:p>
                  <w:pPr>
                    <w:pStyle w:val="Compact"/>
                  </w:pPr>
                </w:p>
              </w:tc>
              <w:tc>
                <w:tcPr/>
                <w:p>
                  <w:pPr>
                    <w:pStyle w:val="Compact"/>
                    <w:jc w:val="center"/>
                  </w:pPr>
                  <w:r>
                    <w:t xml:space="preserve">18306</w:t>
                  </w:r>
                </w:p>
              </w:tc>
              <w:tc>
                <w:tcPr/>
                <w:p>
                  <w:pPr>
                    <w:pStyle w:val="Compact"/>
                    <w:jc w:val="center"/>
                  </w:pPr>
                  <w:r>
                    <w:t xml:space="preserve">11</w:t>
                  </w:r>
                </w:p>
              </w:tc>
            </w:tr>
            <w:tr>
              <w:tc>
                <w:tcPr/>
                <w:p>
                  <w:pPr>
                    <w:pStyle w:val="Compact"/>
                  </w:pPr>
                </w:p>
              </w:tc>
              <w:tc>
                <w:tcPr/>
                <w:p>
                  <w:pPr>
                    <w:pStyle w:val="Compact"/>
                    <w:jc w:val="center"/>
                  </w:pPr>
                  <w:r>
                    <w:t xml:space="preserve">20731</w:t>
                  </w:r>
                </w:p>
              </w:tc>
              <w:tc>
                <w:tcPr/>
                <w:p>
                  <w:pPr>
                    <w:pStyle w:val="Compact"/>
                    <w:jc w:val="center"/>
                  </w:pPr>
                  <w:r>
                    <w:t xml:space="preserve">59</w:t>
                  </w:r>
                </w:p>
              </w:tc>
            </w:tr>
            <w:tr>
              <w:tc>
                <w:tcPr/>
                <w:p>
                  <w:pPr>
                    <w:pStyle w:val="Compact"/>
                  </w:pPr>
                </w:p>
              </w:tc>
              <w:tc>
                <w:tcPr/>
                <w:p>
                  <w:pPr>
                    <w:pStyle w:val="Compact"/>
                    <w:jc w:val="center"/>
                  </w:pPr>
                  <w:r>
                    <w:t xml:space="preserve">20905</w:t>
                  </w:r>
                </w:p>
              </w:tc>
              <w:tc>
                <w:tcPr/>
                <w:p>
                  <w:pPr>
                    <w:pStyle w:val="Compact"/>
                    <w:jc w:val="center"/>
                  </w:pPr>
                  <w:r>
                    <w:t xml:space="preserve">64</w:t>
                  </w:r>
                </w:p>
              </w:tc>
            </w:tr>
            <w:tr>
              <w:tc>
                <w:tcPr/>
                <w:p>
                  <w:pPr>
                    <w:pStyle w:val="Compact"/>
                  </w:pPr>
                </w:p>
              </w:tc>
              <w:tc>
                <w:tcPr/>
                <w:p>
                  <w:pPr>
                    <w:pStyle w:val="Compact"/>
                    <w:jc w:val="center"/>
                  </w:pPr>
                  <w:r>
                    <w:t xml:space="preserve">24383</w:t>
                  </w:r>
                </w:p>
              </w:tc>
              <w:tc>
                <w:tcPr/>
                <w:p>
                  <w:pPr>
                    <w:pStyle w:val="Compact"/>
                    <w:jc w:val="center"/>
                  </w:pPr>
                  <w:r>
                    <w:t xml:space="preserve">13</w:t>
                  </w:r>
                </w:p>
              </w:tc>
            </w:tr>
            <w:tr>
              <w:tc>
                <w:tcPr/>
                <w:p>
                  <w:pPr>
                    <w:pStyle w:val="Compact"/>
                  </w:pPr>
                </w:p>
              </w:tc>
              <w:tc>
                <w:tcPr/>
                <w:p>
                  <w:pPr>
                    <w:pStyle w:val="Compact"/>
                    <w:jc w:val="center"/>
                  </w:pPr>
                  <w:r>
                    <w:t xml:space="preserve">27296</w:t>
                  </w:r>
                </w:p>
              </w:tc>
              <w:tc>
                <w:tcPr/>
                <w:p>
                  <w:pPr>
                    <w:pStyle w:val="Compact"/>
                    <w:jc w:val="center"/>
                  </w:pPr>
                  <w:r>
                    <w:t xml:space="preserve">23</w:t>
                  </w:r>
                </w:p>
              </w:tc>
            </w:tr>
            <w:tr>
              <w:tc>
                <w:tcPr/>
                <w:p>
                  <w:pPr>
                    <w:pStyle w:val="Compact"/>
                  </w:pPr>
                </w:p>
              </w:tc>
              <w:tc>
                <w:tcPr/>
                <w:p>
                  <w:pPr>
                    <w:pStyle w:val="Compact"/>
                    <w:jc w:val="center"/>
                  </w:pPr>
                  <w:r>
                    <w:t xml:space="preserve">28678</w:t>
                  </w:r>
                </w:p>
              </w:tc>
              <w:tc>
                <w:tcPr/>
                <w:p>
                  <w:pPr>
                    <w:pStyle w:val="Compact"/>
                    <w:jc w:val="center"/>
                  </w:pPr>
                  <w:r>
                    <w:t xml:space="preserve">11</w:t>
                  </w:r>
                </w:p>
              </w:tc>
            </w:tr>
            <w:tr>
              <w:tc>
                <w:tcPr/>
                <w:p>
                  <w:pPr>
                    <w:pStyle w:val="Compact"/>
                  </w:pPr>
                </w:p>
              </w:tc>
              <w:tc>
                <w:tcPr/>
                <w:p>
                  <w:pPr>
                    <w:pStyle w:val="Compact"/>
                    <w:jc w:val="center"/>
                  </w:pPr>
                  <w:r>
                    <w:t xml:space="preserve">36932</w:t>
                  </w:r>
                </w:p>
              </w:tc>
              <w:tc>
                <w:tcPr/>
                <w:p>
                  <w:pPr>
                    <w:pStyle w:val="Compact"/>
                    <w:jc w:val="center"/>
                  </w:pPr>
                  <w:r>
                    <w:t xml:space="preserve">21</w:t>
                  </w:r>
                </w:p>
              </w:tc>
            </w:tr>
            <w:tr>
              <w:tc>
                <w:tcPr/>
                <w:p>
                  <w:pPr>
                    <w:pStyle w:val="Compact"/>
                  </w:pPr>
                </w:p>
              </w:tc>
              <w:tc>
                <w:tcPr/>
                <w:p>
                  <w:pPr>
                    <w:pStyle w:val="Compact"/>
                    <w:jc w:val="center"/>
                  </w:pPr>
                  <w:r>
                    <w:t xml:space="preserve">101974</w:t>
                  </w:r>
                </w:p>
              </w:tc>
              <w:tc>
                <w:tcPr/>
                <w:p>
                  <w:pPr>
                    <w:pStyle w:val="Compact"/>
                    <w:jc w:val="center"/>
                  </w:pPr>
                  <w:r>
                    <w:t xml:space="preserve">28</w:t>
                  </w:r>
                </w:p>
              </w:tc>
            </w:tr>
            <w:tr>
              <w:tc>
                <w:tcPr/>
                <w:p>
                  <w:pPr>
                    <w:pStyle w:val="Compact"/>
                  </w:pPr>
                </w:p>
              </w:tc>
              <w:tc>
                <w:tcPr/>
                <w:p>
                  <w:pPr>
                    <w:pStyle w:val="Compact"/>
                    <w:jc w:val="center"/>
                  </w:pPr>
                  <w:r>
                    <w:t xml:space="preserve">152381</w:t>
                  </w:r>
                </w:p>
              </w:tc>
              <w:tc>
                <w:tcPr/>
                <w:p>
                  <w:pPr>
                    <w:pStyle w:val="Compact"/>
                    <w:jc w:val="center"/>
                  </w:pPr>
                  <w:r>
                    <w:t xml:space="preserve">95</w:t>
                  </w:r>
                </w:p>
              </w:tc>
            </w:tr>
            <w:tr>
              <w:tc>
                <w:tcPr/>
                <w:p>
                  <w:pPr>
                    <w:pStyle w:val="Compact"/>
                    <w:jc w:val="center"/>
                  </w:pPr>
                  <w:r>
                    <w:t xml:space="preserve">13A</w:t>
                  </w:r>
                </w:p>
              </w:tc>
              <w:tc>
                <w:tcPr/>
                <w:p>
                  <w:pPr>
                    <w:pStyle w:val="Compact"/>
                    <w:jc w:val="center"/>
                  </w:pPr>
                  <w:r>
                    <w:t xml:space="preserve">14366</w:t>
                  </w:r>
                </w:p>
              </w:tc>
              <w:tc>
                <w:tcPr/>
                <w:p>
                  <w:pPr>
                    <w:pStyle w:val="Compact"/>
                    <w:jc w:val="center"/>
                  </w:pPr>
                  <w:r>
                    <w:t xml:space="preserve">256</w:t>
                  </w:r>
                </w:p>
              </w:tc>
            </w:tr>
            <w:tr>
              <w:tc>
                <w:tcPr/>
                <w:p>
                  <w:pPr>
                    <w:pStyle w:val="Compact"/>
                  </w:pPr>
                </w:p>
              </w:tc>
              <w:tc>
                <w:tcPr/>
                <w:p>
                  <w:pPr>
                    <w:pStyle w:val="Compact"/>
                    <w:jc w:val="center"/>
                  </w:pPr>
                  <w:r>
                    <w:t xml:space="preserve">15024</w:t>
                  </w:r>
                </w:p>
              </w:tc>
              <w:tc>
                <w:tcPr/>
                <w:p>
                  <w:pPr>
                    <w:pStyle w:val="Compact"/>
                    <w:jc w:val="center"/>
                  </w:pPr>
                  <w:r>
                    <w:t xml:space="preserve">178</w:t>
                  </w:r>
                </w:p>
              </w:tc>
            </w:tr>
            <w:tr>
              <w:tc>
                <w:tcPr/>
                <w:p>
                  <w:pPr>
                    <w:pStyle w:val="Compact"/>
                  </w:pPr>
                </w:p>
              </w:tc>
              <w:tc>
                <w:tcPr/>
                <w:p>
                  <w:pPr>
                    <w:pStyle w:val="Compact"/>
                    <w:jc w:val="center"/>
                  </w:pPr>
                  <w:r>
                    <w:t xml:space="preserve">16681</w:t>
                  </w:r>
                </w:p>
              </w:tc>
              <w:tc>
                <w:tcPr/>
                <w:p>
                  <w:pPr>
                    <w:pStyle w:val="Compact"/>
                    <w:jc w:val="center"/>
                  </w:pPr>
                  <w:r>
                    <w:t xml:space="preserve">90</w:t>
                  </w:r>
                </w:p>
              </w:tc>
            </w:tr>
            <w:tr>
              <w:tc>
                <w:tcPr/>
                <w:p>
                  <w:pPr>
                    <w:pStyle w:val="Compact"/>
                  </w:pPr>
                </w:p>
              </w:tc>
              <w:tc>
                <w:tcPr/>
                <w:p>
                  <w:pPr>
                    <w:pStyle w:val="Compact"/>
                    <w:jc w:val="center"/>
                  </w:pPr>
                  <w:r>
                    <w:t xml:space="preserve">17350</w:t>
                  </w:r>
                </w:p>
              </w:tc>
              <w:tc>
                <w:tcPr/>
                <w:p>
                  <w:pPr>
                    <w:pStyle w:val="Compact"/>
                    <w:jc w:val="center"/>
                  </w:pPr>
                  <w:r>
                    <w:t xml:space="preserve">183</w:t>
                  </w:r>
                </w:p>
              </w:tc>
            </w:tr>
            <w:tr>
              <w:tc>
                <w:tcPr/>
                <w:p>
                  <w:pPr>
                    <w:pStyle w:val="Compact"/>
                  </w:pPr>
                </w:p>
              </w:tc>
              <w:tc>
                <w:tcPr/>
                <w:p>
                  <w:pPr>
                    <w:pStyle w:val="Compact"/>
                    <w:jc w:val="center"/>
                  </w:pPr>
                  <w:r>
                    <w:t xml:space="preserve">27506</w:t>
                  </w:r>
                </w:p>
              </w:tc>
              <w:tc>
                <w:tcPr/>
                <w:p>
                  <w:pPr>
                    <w:pStyle w:val="Compact"/>
                    <w:jc w:val="center"/>
                  </w:pPr>
                  <w:r>
                    <w:t xml:space="preserve">14</w:t>
                  </w:r>
                </w:p>
              </w:tc>
            </w:tr>
            <w:tr>
              <w:tc>
                <w:tcPr/>
                <w:p>
                  <w:pPr>
                    <w:pStyle w:val="Compact"/>
                  </w:pPr>
                </w:p>
              </w:tc>
              <w:tc>
                <w:tcPr/>
                <w:p>
                  <w:pPr>
                    <w:pStyle w:val="Compact"/>
                    <w:jc w:val="center"/>
                  </w:pPr>
                  <w:r>
                    <w:t xml:space="preserve">33275</w:t>
                  </w:r>
                </w:p>
              </w:tc>
              <w:tc>
                <w:tcPr/>
                <w:p>
                  <w:pPr>
                    <w:pStyle w:val="Compact"/>
                    <w:jc w:val="center"/>
                  </w:pPr>
                  <w:r>
                    <w:t xml:space="preserve">136</w:t>
                  </w:r>
                </w:p>
              </w:tc>
            </w:tr>
            <w:tr>
              <w:tc>
                <w:tcPr/>
                <w:p>
                  <w:pPr>
                    <w:pStyle w:val="Compact"/>
                    <w:jc w:val="center"/>
                  </w:pPr>
                  <w:r>
                    <w:rPr>
                      <w:b/>
                      <w:bCs/>
                    </w:rPr>
                    <w:t xml:space="preserve">Grand Total</w:t>
                  </w:r>
                </w:p>
              </w:tc>
              <w:tc>
                <w:tcPr/>
                <w:p>
                  <w:pPr>
                    <w:pStyle w:val="Compact"/>
                  </w:pPr>
                </w:p>
              </w:tc>
              <w:tc>
                <w:tcPr/>
                <w:p>
                  <w:pPr>
                    <w:pStyle w:val="Compact"/>
                    <w:jc w:val="center"/>
                  </w:pPr>
                  <w:r>
                    <w:t xml:space="preserve">3291</w:t>
                  </w:r>
                </w:p>
              </w:tc>
            </w:tr>
          </w:tbl>
          <w:bookmarkEnd w:id="117"/>
          <w:p/>
        </w:tc>
      </w:tr>
    </w:tbl>
    <w:bookmarkStart w:id="120" w:name="refs"/>
    <w:bookmarkStart w:id="119" w:name="ref-Soffers2025"/>
    <w:p>
      <w:pPr>
        <w:pStyle w:val="Bibliography"/>
      </w:pPr>
      <w:r>
        <w:t xml:space="preserve">Soffers, J. H., Beck, E., Sytkowski, D. J., Maughan, M. E., Devarakonda, D., Zhu, Y., … Lacin, H. (2025). A library of lineage-specific driver lines connects developing neuronal circuits to behavior in the drosophila ventral nerve cord.</w:t>
      </w:r>
      <w:r>
        <w:t xml:space="preserve"> </w:t>
      </w:r>
      <w:r>
        <w:rPr>
          <w:i/>
          <w:iCs/>
        </w:rPr>
        <w:t xml:space="preserve">eLife</w:t>
      </w:r>
      <w:r>
        <w:t xml:space="preserve">,</w:t>
      </w:r>
      <w:r>
        <w:t xml:space="preserve"> </w:t>
      </w:r>
      <w:r>
        <w:rPr>
          <w:i/>
          <w:iCs/>
        </w:rPr>
        <w:t xml:space="preserve">14</w:t>
      </w:r>
      <w:r>
        <w:t xml:space="preserve">.</w:t>
      </w:r>
      <w:r>
        <w:t xml:space="preserve"> </w:t>
      </w:r>
      <w:hyperlink r:id="rId118">
        <w:r>
          <w:rPr>
            <w:rStyle w:val="Hyperlink"/>
          </w:rPr>
          <w:t xml:space="preserve">https://doi.org/10.7554/elife.106042.3</w:t>
        </w:r>
      </w:hyperlink>
    </w:p>
    <w:bookmarkEnd w:id="119"/>
    <w:bookmarkEnd w:id="120"/>
    <w:bookmarkEnd w:id="121"/>
    <w:bookmarkEnd w:id="122"/>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4">
    <w:nsid w:val="00A99414"/>
    <w:multiLevelType w:val="multilevel"/>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99417">
    <w:nsid w:val="00A9941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1"/>
  </w:num>
  <w:num w:numId="100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4">
    <w:abstractNumId w:val="991"/>
  </w:num>
  <w:num w:numId="1015">
    <w:abstractNumId w:val="991"/>
  </w:num>
  <w:num w:numId="1016">
    <w:abstractNumId w:val="994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17">
    <w:abstractNumId w:val="991"/>
  </w:num>
  <w:num w:numId="1018">
    <w:abstractNumId w:val="991"/>
  </w:num>
  <w:num w:numId="1019">
    <w:abstractNumId w:val="994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020">
    <w:abstractNumId w:val="991"/>
  </w:num>
  <w:num w:numId="1021">
    <w:abstractNumId w:val="991"/>
  </w:num>
  <w:num w:numId="1022">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EastAsia" w:hAnsiTheme="minorHAnsi"/>
        <w:sz w:val="24"/>
        <w:szCs w:val="24"/>
        <w:lang w:bidi="ar-SA" w:eastAsia="zh-CN"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55" Target="media/rId55.png" /><Relationship Type="http://schemas.openxmlformats.org/officeDocument/2006/relationships/image" Id="rId61" Target="media/rId61.png" /><Relationship Type="http://schemas.openxmlformats.org/officeDocument/2006/relationships/image" Id="rId66" Target="media/rId66.png" /><Relationship Type="http://schemas.openxmlformats.org/officeDocument/2006/relationships/image" Id="rId71" Target="media/rId71.png" /><Relationship Type="http://schemas.openxmlformats.org/officeDocument/2006/relationships/image" Id="rId76" Target="media/rId76.png" /><Relationship Type="http://schemas.openxmlformats.org/officeDocument/2006/relationships/image" Id="rId12" Target="media/rId12.png" /><Relationship Type="http://schemas.openxmlformats.org/officeDocument/2006/relationships/image" Id="rId17" Target="media/rId17.png" /><Relationship Type="http://schemas.openxmlformats.org/officeDocument/2006/relationships/image" Id="rId86" Target="media/rId86.png" /><Relationship Type="http://schemas.openxmlformats.org/officeDocument/2006/relationships/image" Id="rId90" Target="media/rId90.png" /><Relationship Type="http://schemas.openxmlformats.org/officeDocument/2006/relationships/image" Id="rId95" Target="media/rId95.png" /><Relationship Type="http://schemas.openxmlformats.org/officeDocument/2006/relationships/image" Id="rId100" Target="media/rId100.png" /><Relationship Type="http://schemas.openxmlformats.org/officeDocument/2006/relationships/image" Id="rId104" Target="media/rId104.png" /><Relationship Type="http://schemas.openxmlformats.org/officeDocument/2006/relationships/hyperlink" Id="rId34" Target="assets/module01/Video-14A-1.mp4" TargetMode="External" /><Relationship Type="http://schemas.openxmlformats.org/officeDocument/2006/relationships/hyperlink" Id="rId36" Target="assets/module01/Video-14A-2.mp4" TargetMode="External" /><Relationship Type="http://schemas.openxmlformats.org/officeDocument/2006/relationships/hyperlink" Id="rId38" Target="assets/module01/Video-17A-1.mp4" TargetMode="External" /><Relationship Type="http://schemas.openxmlformats.org/officeDocument/2006/relationships/hyperlink" Id="rId40" Target="assets/module01/Video-17A-2.mp4" TargetMode="External" /><Relationship Type="http://schemas.openxmlformats.org/officeDocument/2006/relationships/hyperlink" Id="rId26" Target="assets/module01/Video-5B-1.mp4" TargetMode="External" /><Relationship Type="http://schemas.openxmlformats.org/officeDocument/2006/relationships/hyperlink" Id="rId28" Target="assets/module01/Video-5B-2.mp4" TargetMode="External" /><Relationship Type="http://schemas.openxmlformats.org/officeDocument/2006/relationships/hyperlink" Id="rId30" Target="assets/module01/Video-5B-3.mp4" TargetMode="External" /><Relationship Type="http://schemas.openxmlformats.org/officeDocument/2006/relationships/hyperlink" Id="rId32" Target="assets/module01/Video-5B-4.mp4" TargetMode="External" /><Relationship Type="http://schemas.openxmlformats.org/officeDocument/2006/relationships/hyperlink" Id="rId112" Target="https://a.co/d/hvr3GUZ" TargetMode="External" /><Relationship Type="http://schemas.openxmlformats.org/officeDocument/2006/relationships/hyperlink" Id="rId60" Target="https://clio-ng.janelia.org/#!gs://flyem-user-links/short/EscapeCircuit.json" TargetMode="External" /><Relationship Type="http://schemas.openxmlformats.org/officeDocument/2006/relationships/hyperlink" Id="rId118" Target="https://doi.org/10.7554/elife.106042.3" TargetMode="External" /><Relationship Type="http://schemas.openxmlformats.org/officeDocument/2006/relationships/hyperlink" Id="rId113" Target="https://www.geneseesci.com/product/nutri-fly-molasses-formulation-pre-mixed-fly-food/" TargetMode="External" /><Relationship Type="http://schemas.openxmlformats.org/officeDocument/2006/relationships/hyperlink" Id="rId114" Target="https://www.sigmaaldrich.com/US/en/product/sigma/r250" TargetMode="External" /></Relationships>
</file>

<file path=word/_rels/footnotes.xml.rels><?xml version="1.0" encoding="UTF-8"?><Relationships xmlns="http://schemas.openxmlformats.org/package/2006/relationships"><Relationship Type="http://schemas.openxmlformats.org/officeDocument/2006/relationships/hyperlink" Id="rId34" Target="assets/module01/Video-14A-1.mp4" TargetMode="External" /><Relationship Type="http://schemas.openxmlformats.org/officeDocument/2006/relationships/hyperlink" Id="rId36" Target="assets/module01/Video-14A-2.mp4" TargetMode="External" /><Relationship Type="http://schemas.openxmlformats.org/officeDocument/2006/relationships/hyperlink" Id="rId38" Target="assets/module01/Video-17A-1.mp4" TargetMode="External" /><Relationship Type="http://schemas.openxmlformats.org/officeDocument/2006/relationships/hyperlink" Id="rId40" Target="assets/module01/Video-17A-2.mp4" TargetMode="External" /><Relationship Type="http://schemas.openxmlformats.org/officeDocument/2006/relationships/hyperlink" Id="rId26" Target="assets/module01/Video-5B-1.mp4" TargetMode="External" /><Relationship Type="http://schemas.openxmlformats.org/officeDocument/2006/relationships/hyperlink" Id="rId28" Target="assets/module01/Video-5B-2.mp4" TargetMode="External" /><Relationship Type="http://schemas.openxmlformats.org/officeDocument/2006/relationships/hyperlink" Id="rId30" Target="assets/module01/Video-5B-3.mp4" TargetMode="External" /><Relationship Type="http://schemas.openxmlformats.org/officeDocument/2006/relationships/hyperlink" Id="rId32" Target="assets/module01/Video-5B-4.mp4" TargetMode="External" /><Relationship Type="http://schemas.openxmlformats.org/officeDocument/2006/relationships/hyperlink" Id="rId112" Target="https://a.co/d/hvr3GUZ" TargetMode="External" /><Relationship Type="http://schemas.openxmlformats.org/officeDocument/2006/relationships/hyperlink" Id="rId60" Target="https://clio-ng.janelia.org/#!gs://flyem-user-links/short/EscapeCircuit.json" TargetMode="External" /><Relationship Type="http://schemas.openxmlformats.org/officeDocument/2006/relationships/hyperlink" Id="rId118" Target="https://doi.org/10.7554/elife.106042.3" TargetMode="External" /><Relationship Type="http://schemas.openxmlformats.org/officeDocument/2006/relationships/hyperlink" Id="rId113" Target="https://www.geneseesci.com/product/nutri-fly-molasses-formulation-pre-mixed-fly-food/" TargetMode="External" /><Relationship Type="http://schemas.openxmlformats.org/officeDocument/2006/relationships/hyperlink" Id="rId114" Target="https://www.sigmaaldrich.com/US/en/product/sigma/r250"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Developmental Logic as Circuit Blueprint.</dc:title>
  <dc:creator>Jelly Soffers</dc:creator>
  <cp:keywords/>
  <dcterms:created xsi:type="dcterms:W3CDTF">2026-05-15T15:16:50Z</dcterms:created>
  <dcterms:modified xsi:type="dcterms:W3CDTF">2026-05-15T15:16:50Z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title">
    <vt:lpwstr>References</vt:lpwstr>
  </property>
  <property fmtid="{D5CDD505-2E9C-101B-9397-08002B2CF9AE}" pid="5" name="bibliography">
    <vt:lpwstr/>
  </property>
  <property fmtid="{D5CDD505-2E9C-101B-9397-08002B2CF9AE}" pid="6" name="by-author">
    <vt:lpwstr/>
  </property>
  <property fmtid="{D5CDD505-2E9C-101B-9397-08002B2CF9AE}" pid="7" name="csl">
    <vt:lpwstr>../assets/apa-6th-edition.csl</vt:lpwstr>
  </property>
  <property fmtid="{D5CDD505-2E9C-101B-9397-08002B2CF9AE}" pid="8" name="engines">
    <vt:lpwstr/>
  </property>
  <property fmtid="{D5CDD505-2E9C-101B-9397-08002B2CF9AE}" pid="9" name="git-version">
    <vt:lpwstr>caea2a7</vt:lpwstr>
  </property>
  <property fmtid="{D5CDD505-2E9C-101B-9397-08002B2CF9AE}" pid="10" name="header-includes">
    <vt:lpwstr/>
  </property>
  <property fmtid="{D5CDD505-2E9C-101B-9397-08002B2CF9AE}" pid="11" name="include-after">
    <vt:lpwstr/>
  </property>
  <property fmtid="{D5CDD505-2E9C-101B-9397-08002B2CF9AE}" pid="12" name="include-before">
    <vt:lpwstr/>
  </property>
  <property fmtid="{D5CDD505-2E9C-101B-9397-08002B2CF9AE}" pid="13" name="labels">
    <vt:lpwstr/>
  </property>
  <property fmtid="{D5CDD505-2E9C-101B-9397-08002B2CF9AE}" pid="14" name="lightbox">
    <vt:lpwstr>True</vt:lpwstr>
  </property>
  <property fmtid="{D5CDD505-2E9C-101B-9397-08002B2CF9AE}" pid="15" name="toc-title">
    <vt:lpwstr>Table of contents</vt:lpwstr>
  </property>
</Properties>
</file>